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2"/>
        <w:pageBreakBefore w:val="0"/>
        <w:wordWrap/>
        <w:topLinePunct w:val="0"/>
        <w:bidi w:val="0"/>
        <w:adjustRightInd w:val="0"/>
        <w:snapToGrid w:val="0"/>
        <w:spacing w:line="240" w:lineRule="auto"/>
        <w:ind w:firstLine="0" w:firstLineChars="0"/>
        <w:outlineLvl w:val="9"/>
        <w:rPr>
          <w:rFonts w:hint="eastAsia" w:ascii="微软雅黑" w:hAnsi="微软雅黑" w:eastAsia="微软雅黑" w:cs="微软雅黑"/>
          <w:b w:val="0"/>
          <w:bCs/>
          <w:color w:val="000000" w:themeColor="text1"/>
          <w14:textFill>
            <w14:solidFill>
              <w14:schemeClr w14:val="tx1"/>
            </w14:solidFill>
          </w14:textFill>
        </w:rPr>
      </w:pPr>
    </w:p>
    <w:p>
      <w:pPr>
        <w:pStyle w:val="32"/>
        <w:pageBreakBefore w:val="0"/>
        <w:widowControl/>
        <w:kinsoku w:val="0"/>
        <w:wordWrap/>
        <w:topLinePunct w:val="0"/>
        <w:autoSpaceDE w:val="0"/>
        <w:autoSpaceDN w:val="0"/>
        <w:bidi w:val="0"/>
        <w:adjustRightInd w:val="0"/>
        <w:snapToGrid w:val="0"/>
        <w:spacing w:line="240" w:lineRule="auto"/>
        <w:ind w:firstLine="0" w:firstLineChars="0"/>
        <w:jc w:val="both"/>
        <w:textAlignment w:val="baseline"/>
        <w:rPr>
          <w:rFonts w:hint="eastAsia" w:ascii="微软雅黑" w:hAnsi="微软雅黑" w:eastAsia="微软雅黑" w:cs="微软雅黑"/>
          <w:b w:val="0"/>
          <w:bCs/>
          <w:snapToGrid w:val="0"/>
          <w:color w:val="000000" w:themeColor="text1"/>
          <w:kern w:val="0"/>
          <w:sz w:val="60"/>
          <w:szCs w:val="60"/>
          <w:lang w:val="en-US" w:eastAsia="zh-CN"/>
          <w14:textFill>
            <w14:solidFill>
              <w14:schemeClr w14:val="tx1"/>
            </w14:solidFill>
          </w14:textFill>
        </w:rPr>
      </w:pPr>
    </w:p>
    <w:p>
      <w:pPr>
        <w:pStyle w:val="32"/>
        <w:pageBreakBefore w:val="0"/>
        <w:widowControl/>
        <w:kinsoku w:val="0"/>
        <w:wordWrap/>
        <w:topLinePunct w:val="0"/>
        <w:autoSpaceDE w:val="0"/>
        <w:autoSpaceDN w:val="0"/>
        <w:bidi w:val="0"/>
        <w:adjustRightInd w:val="0"/>
        <w:snapToGrid w:val="0"/>
        <w:spacing w:line="240" w:lineRule="auto"/>
        <w:ind w:firstLine="0" w:firstLineChars="0"/>
        <w:jc w:val="both"/>
        <w:textAlignment w:val="baseline"/>
        <w:rPr>
          <w:rFonts w:hint="eastAsia" w:ascii="微软雅黑" w:hAnsi="微软雅黑" w:eastAsia="微软雅黑" w:cs="微软雅黑"/>
          <w:b w:val="0"/>
          <w:bCs/>
          <w:snapToGrid w:val="0"/>
          <w:color w:val="000000" w:themeColor="text1"/>
          <w:kern w:val="0"/>
          <w:sz w:val="60"/>
          <w:szCs w:val="60"/>
          <w:lang w:val="en-US" w:eastAsia="zh-CN"/>
          <w14:textFill>
            <w14:solidFill>
              <w14:schemeClr w14:val="tx1"/>
            </w14:solidFill>
          </w14:textFill>
        </w:rPr>
      </w:pPr>
    </w:p>
    <w:p>
      <w:pPr>
        <w:pStyle w:val="32"/>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textAlignment w:val="baseline"/>
        <w:rPr>
          <w:rFonts w:hint="default" w:ascii="黑体" w:hAnsi="黑体" w:eastAsia="黑体" w:cs="黑体"/>
          <w:b w:val="0"/>
          <w:bCs/>
          <w:snapToGrid w:val="0"/>
          <w:color w:val="auto"/>
          <w:kern w:val="0"/>
          <w:sz w:val="48"/>
          <w:szCs w:val="48"/>
          <w:lang w:val="en-US" w:eastAsia="zh-CN"/>
        </w:rPr>
      </w:pPr>
      <w:bookmarkStart w:id="0" w:name="_Toc21371"/>
      <w:r>
        <w:rPr>
          <w:rFonts w:hint="eastAsia" w:ascii="黑体" w:hAnsi="黑体" w:eastAsia="黑体" w:cs="黑体"/>
          <w:b w:val="0"/>
          <w:bCs/>
          <w:snapToGrid w:val="0"/>
          <w:color w:val="auto"/>
          <w:kern w:val="0"/>
          <w:sz w:val="48"/>
          <w:szCs w:val="48"/>
          <w:lang w:val="en-US" w:eastAsia="zh-CN"/>
        </w:rPr>
        <w:t>江苏扬州农村商业银行股份有限公司</w:t>
      </w:r>
      <w:bookmarkEnd w:id="0"/>
    </w:p>
    <w:p>
      <w:pPr>
        <w:pStyle w:val="32"/>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textAlignment w:val="baseline"/>
        <w:rPr>
          <w:rFonts w:hint="eastAsia" w:ascii="黑体" w:hAnsi="黑体" w:eastAsia="黑体" w:cs="黑体"/>
          <w:b w:val="0"/>
          <w:bCs/>
          <w:snapToGrid w:val="0"/>
          <w:color w:val="auto"/>
          <w:kern w:val="0"/>
          <w:sz w:val="48"/>
          <w:szCs w:val="48"/>
          <w:lang w:val="en-US" w:eastAsia="zh-CN"/>
        </w:rPr>
      </w:pPr>
      <w:r>
        <w:rPr>
          <w:rFonts w:hint="eastAsia" w:ascii="黑体" w:hAnsi="黑体" w:eastAsia="黑体" w:cs="黑体"/>
          <w:b w:val="0"/>
          <w:bCs/>
          <w:snapToGrid w:val="0"/>
          <w:color w:val="auto"/>
          <w:kern w:val="0"/>
          <w:sz w:val="48"/>
          <w:szCs w:val="48"/>
          <w:lang w:val="en-US" w:eastAsia="zh-CN"/>
        </w:rPr>
        <w:t>2025年度环境信息披露报告</w:t>
      </w:r>
    </w:p>
    <w:p>
      <w:pPr>
        <w:pStyle w:val="32"/>
        <w:keepNext w:val="0"/>
        <w:keepLines w:val="0"/>
        <w:pageBreakBefore w:val="0"/>
        <w:widowControl/>
        <w:kinsoku/>
        <w:wordWrap/>
        <w:overflowPunct/>
        <w:topLinePunct w:val="0"/>
        <w:autoSpaceDE w:val="0"/>
        <w:autoSpaceDN w:val="0"/>
        <w:bidi w:val="0"/>
        <w:adjustRightInd w:val="0"/>
        <w:snapToGrid w:val="0"/>
        <w:spacing w:line="240" w:lineRule="auto"/>
        <w:ind w:firstLine="0" w:firstLineChars="0"/>
        <w:jc w:val="center"/>
        <w:textAlignment w:val="baseline"/>
        <w:rPr>
          <w:rFonts w:hint="eastAsia" w:ascii="方正大黑简体" w:hAnsi="方正大黑简体" w:eastAsia="方正大黑简体" w:cs="方正大黑简体"/>
          <w:b w:val="0"/>
          <w:bCs/>
          <w:snapToGrid w:val="0"/>
          <w:color w:val="00B050"/>
          <w:kern w:val="0"/>
          <w:sz w:val="72"/>
          <w:szCs w:val="72"/>
          <w:lang w:val="en-US" w:eastAsia="zh-CN"/>
        </w:rPr>
      </w:pPr>
      <w:bookmarkStart w:id="51" w:name="_GoBack"/>
      <w:bookmarkEnd w:id="51"/>
    </w:p>
    <w:p>
      <w:pPr>
        <w:pStyle w:val="32"/>
        <w:keepNext w:val="0"/>
        <w:keepLines w:val="0"/>
        <w:pageBreakBefore w:val="0"/>
        <w:widowControl/>
        <w:kinsoku/>
        <w:wordWrap/>
        <w:overflowPunct/>
        <w:topLinePunct w:val="0"/>
        <w:autoSpaceDE w:val="0"/>
        <w:autoSpaceDN w:val="0"/>
        <w:bidi w:val="0"/>
        <w:adjustRightInd w:val="0"/>
        <w:snapToGrid w:val="0"/>
        <w:spacing w:line="240" w:lineRule="auto"/>
        <w:ind w:firstLine="0" w:firstLineChars="0"/>
        <w:jc w:val="center"/>
        <w:textAlignment w:val="baseline"/>
        <w:rPr>
          <w:rFonts w:hint="eastAsia" w:ascii="方正大黑简体" w:hAnsi="方正大黑简体" w:eastAsia="方正大黑简体" w:cs="方正大黑简体"/>
          <w:b w:val="0"/>
          <w:bCs/>
          <w:snapToGrid w:val="0"/>
          <w:color w:val="000000" w:themeColor="text1"/>
          <w:kern w:val="0"/>
          <w:sz w:val="52"/>
          <w:szCs w:val="52"/>
          <w:lang w:val="en-US" w:eastAsia="zh-CN"/>
          <w14:textFill>
            <w14:solidFill>
              <w14:schemeClr w14:val="tx1"/>
            </w14:solidFill>
          </w14:textFill>
        </w:rPr>
      </w:pPr>
    </w:p>
    <w:p>
      <w:pPr>
        <w:pStyle w:val="32"/>
        <w:keepNext w:val="0"/>
        <w:keepLines w:val="0"/>
        <w:pageBreakBefore w:val="0"/>
        <w:widowControl/>
        <w:kinsoku/>
        <w:wordWrap/>
        <w:overflowPunct/>
        <w:topLinePunct w:val="0"/>
        <w:autoSpaceDE w:val="0"/>
        <w:autoSpaceDN w:val="0"/>
        <w:bidi w:val="0"/>
        <w:adjustRightInd w:val="0"/>
        <w:snapToGrid w:val="0"/>
        <w:spacing w:line="240" w:lineRule="auto"/>
        <w:ind w:firstLine="0" w:firstLineChars="0"/>
        <w:jc w:val="center"/>
        <w:textAlignment w:val="baseline"/>
        <w:rPr>
          <w:rFonts w:hint="eastAsia" w:ascii="方正大黑简体" w:hAnsi="方正大黑简体" w:eastAsia="方正大黑简体" w:cs="方正大黑简体"/>
          <w:b w:val="0"/>
          <w:bCs/>
          <w:snapToGrid w:val="0"/>
          <w:color w:val="000000" w:themeColor="text1"/>
          <w:kern w:val="0"/>
          <w:sz w:val="52"/>
          <w:szCs w:val="52"/>
          <w:lang w:val="en-US" w:eastAsia="zh-CN"/>
          <w14:textFill>
            <w14:solidFill>
              <w14:schemeClr w14:val="tx1"/>
            </w14:solidFill>
          </w14:textFill>
        </w:rPr>
      </w:pPr>
    </w:p>
    <w:p>
      <w:pPr>
        <w:pStyle w:val="32"/>
        <w:keepNext w:val="0"/>
        <w:keepLines w:val="0"/>
        <w:pageBreakBefore w:val="0"/>
        <w:kinsoku/>
        <w:wordWrap/>
        <w:overflowPunct/>
        <w:topLinePunct w:val="0"/>
        <w:bidi w:val="0"/>
        <w:adjustRightInd w:val="0"/>
        <w:snapToGrid w:val="0"/>
        <w:spacing w:line="240" w:lineRule="auto"/>
        <w:ind w:firstLine="0" w:firstLineChars="0"/>
        <w:rPr>
          <w:rFonts w:hint="eastAsia" w:ascii="方正大黑简体" w:hAnsi="方正大黑简体" w:eastAsia="方正大黑简体" w:cs="方正大黑简体"/>
          <w:b w:val="0"/>
          <w:bCs/>
          <w:color w:val="000000" w:themeColor="text1"/>
          <w14:textFill>
            <w14:solidFill>
              <w14:schemeClr w14:val="tx1"/>
            </w14:solidFill>
          </w14:textFill>
        </w:rPr>
      </w:pPr>
    </w:p>
    <w:p>
      <w:pPr>
        <w:pStyle w:val="32"/>
        <w:keepNext w:val="0"/>
        <w:keepLines w:val="0"/>
        <w:pageBreakBefore w:val="0"/>
        <w:kinsoku/>
        <w:wordWrap/>
        <w:overflowPunct/>
        <w:topLinePunct w:val="0"/>
        <w:bidi w:val="0"/>
        <w:adjustRightInd w:val="0"/>
        <w:snapToGrid w:val="0"/>
        <w:spacing w:line="240" w:lineRule="auto"/>
        <w:ind w:firstLine="0" w:firstLineChars="0"/>
        <w:rPr>
          <w:rFonts w:hint="eastAsia" w:ascii="方正大黑简体" w:hAnsi="方正大黑简体" w:eastAsia="方正大黑简体" w:cs="方正大黑简体"/>
          <w:b w:val="0"/>
          <w:bCs/>
          <w:color w:val="000000" w:themeColor="text1"/>
          <w14:textFill>
            <w14:solidFill>
              <w14:schemeClr w14:val="tx1"/>
            </w14:solidFill>
          </w14:textFill>
        </w:rPr>
      </w:pPr>
    </w:p>
    <w:p>
      <w:pPr>
        <w:pStyle w:val="32"/>
        <w:keepNext w:val="0"/>
        <w:keepLines w:val="0"/>
        <w:pageBreakBefore w:val="0"/>
        <w:kinsoku/>
        <w:wordWrap/>
        <w:overflowPunct/>
        <w:topLinePunct w:val="0"/>
        <w:bidi w:val="0"/>
        <w:adjustRightInd w:val="0"/>
        <w:snapToGrid w:val="0"/>
        <w:spacing w:line="240" w:lineRule="auto"/>
        <w:ind w:firstLine="0" w:firstLineChars="0"/>
        <w:rPr>
          <w:rFonts w:hint="eastAsia" w:ascii="方正大黑简体" w:hAnsi="方正大黑简体" w:eastAsia="方正大黑简体" w:cs="方正大黑简体"/>
          <w:b w:val="0"/>
          <w:bCs/>
          <w:color w:val="000000" w:themeColor="text1"/>
          <w14:textFill>
            <w14:solidFill>
              <w14:schemeClr w14:val="tx1"/>
            </w14:solidFill>
          </w14:textFill>
        </w:rPr>
      </w:pPr>
    </w:p>
    <w:p>
      <w:pPr>
        <w:pStyle w:val="32"/>
        <w:keepNext w:val="0"/>
        <w:keepLines w:val="0"/>
        <w:pageBreakBefore w:val="0"/>
        <w:kinsoku/>
        <w:wordWrap/>
        <w:overflowPunct/>
        <w:topLinePunct w:val="0"/>
        <w:bidi w:val="0"/>
        <w:adjustRightInd w:val="0"/>
        <w:snapToGrid w:val="0"/>
        <w:spacing w:line="240" w:lineRule="auto"/>
        <w:ind w:firstLine="0" w:firstLineChars="0"/>
        <w:rPr>
          <w:rFonts w:hint="eastAsia" w:ascii="方正大黑简体" w:hAnsi="方正大黑简体" w:eastAsia="方正大黑简体" w:cs="方正大黑简体"/>
          <w:b w:val="0"/>
          <w:bCs/>
          <w:color w:val="000000" w:themeColor="text1"/>
          <w14:textFill>
            <w14:solidFill>
              <w14:schemeClr w14:val="tx1"/>
            </w14:solidFill>
          </w14:textFill>
        </w:rPr>
      </w:pPr>
    </w:p>
    <w:p>
      <w:pPr>
        <w:pStyle w:val="32"/>
        <w:keepNext w:val="0"/>
        <w:keepLines w:val="0"/>
        <w:pageBreakBefore w:val="0"/>
        <w:kinsoku/>
        <w:wordWrap/>
        <w:overflowPunct/>
        <w:topLinePunct w:val="0"/>
        <w:bidi w:val="0"/>
        <w:adjustRightInd w:val="0"/>
        <w:snapToGrid w:val="0"/>
        <w:spacing w:line="240" w:lineRule="auto"/>
        <w:ind w:firstLine="0" w:firstLineChars="0"/>
        <w:jc w:val="both"/>
        <w:rPr>
          <w:rFonts w:hint="eastAsia" w:ascii="方正大黑简体" w:hAnsi="方正大黑简体" w:eastAsia="方正大黑简体" w:cs="方正大黑简体"/>
          <w:b w:val="0"/>
          <w:bCs/>
          <w:color w:val="000000" w:themeColor="text1"/>
          <w14:textFill>
            <w14:solidFill>
              <w14:schemeClr w14:val="tx1"/>
            </w14:solidFill>
          </w14:textFill>
        </w:rPr>
      </w:pPr>
    </w:p>
    <w:p>
      <w:pPr>
        <w:pStyle w:val="32"/>
        <w:keepNext w:val="0"/>
        <w:keepLines w:val="0"/>
        <w:pageBreakBefore w:val="0"/>
        <w:kinsoku/>
        <w:wordWrap/>
        <w:overflowPunct/>
        <w:topLinePunct w:val="0"/>
        <w:bidi w:val="0"/>
        <w:adjustRightInd w:val="0"/>
        <w:snapToGrid w:val="0"/>
        <w:spacing w:line="240" w:lineRule="auto"/>
        <w:ind w:firstLine="0" w:firstLineChars="0"/>
        <w:jc w:val="both"/>
        <w:rPr>
          <w:rFonts w:hint="eastAsia" w:ascii="方正大黑简体" w:hAnsi="方正大黑简体" w:eastAsia="方正大黑简体" w:cs="方正大黑简体"/>
          <w:b w:val="0"/>
          <w:bCs/>
          <w:color w:val="000000" w:themeColor="text1"/>
          <w14:textFill>
            <w14:solidFill>
              <w14:schemeClr w14:val="tx1"/>
            </w14:solidFill>
          </w14:textFill>
        </w:rPr>
      </w:pPr>
    </w:p>
    <w:p>
      <w:pPr>
        <w:pStyle w:val="34"/>
        <w:keepNext w:val="0"/>
        <w:keepLines w:val="0"/>
        <w:pageBreakBefore w:val="0"/>
        <w:kinsoku/>
        <w:wordWrap/>
        <w:overflowPunct/>
        <w:topLinePunct w:val="0"/>
        <w:bidi w:val="0"/>
        <w:adjustRightInd w:val="0"/>
        <w:snapToGrid w:val="0"/>
        <w:spacing w:line="240" w:lineRule="auto"/>
        <w:ind w:left="0" w:leftChars="0" w:firstLine="0" w:firstLineChars="0"/>
        <w:jc w:val="center"/>
        <w:rPr>
          <w:rFonts w:hint="eastAsia" w:ascii="黑体" w:hAnsi="黑体" w:eastAsia="黑体" w:cs="黑体"/>
          <w:b w:val="0"/>
          <w:bCs/>
          <w:color w:val="000000" w:themeColor="text1"/>
          <w:sz w:val="32"/>
          <w:szCs w:val="32"/>
          <w:lang w:val="en-US" w:eastAsia="zh-CN"/>
          <w14:textFill>
            <w14:solidFill>
              <w14:schemeClr w14:val="tx1"/>
            </w14:solidFill>
          </w14:textFill>
        </w:rPr>
      </w:pPr>
      <w:r>
        <w:rPr>
          <w:rFonts w:hint="eastAsia" w:ascii="黑体" w:hAnsi="黑体" w:eastAsia="黑体" w:cs="黑体"/>
          <w:b w:val="0"/>
          <w:bCs/>
          <w:color w:val="000000" w:themeColor="text1"/>
          <w:sz w:val="32"/>
          <w:szCs w:val="32"/>
          <w:lang w:val="en-US" w:eastAsia="zh-CN"/>
          <w14:textFill>
            <w14:solidFill>
              <w14:schemeClr w14:val="tx1"/>
            </w14:solidFill>
          </w14:textFill>
        </w:rPr>
        <w:t>报告主体</w:t>
      </w:r>
      <w:r>
        <w:rPr>
          <w:rFonts w:hint="eastAsia" w:ascii="黑体" w:hAnsi="黑体" w:eastAsia="黑体" w:cs="黑体"/>
          <w:b w:val="0"/>
          <w:bCs/>
          <w:color w:val="000000" w:themeColor="text1"/>
          <w:sz w:val="32"/>
          <w:szCs w:val="32"/>
          <w14:textFill>
            <w14:solidFill>
              <w14:schemeClr w14:val="tx1"/>
            </w14:solidFill>
          </w14:textFill>
        </w:rPr>
        <w:t>：</w:t>
      </w:r>
      <w:r>
        <w:rPr>
          <w:rFonts w:hint="eastAsia" w:ascii="黑体" w:hAnsi="黑体" w:eastAsia="黑体" w:cs="黑体"/>
          <w:b w:val="0"/>
          <w:bCs/>
          <w:color w:val="000000" w:themeColor="text1"/>
          <w:sz w:val="32"/>
          <w:szCs w:val="32"/>
          <w:lang w:val="en-US" w:eastAsia="zh-CN"/>
          <w14:textFill>
            <w14:solidFill>
              <w14:schemeClr w14:val="tx1"/>
            </w14:solidFill>
          </w14:textFill>
        </w:rPr>
        <w:t>江苏扬州农村商业银行股份有限公司</w:t>
      </w:r>
    </w:p>
    <w:p>
      <w:pPr>
        <w:pStyle w:val="34"/>
        <w:keepNext w:val="0"/>
        <w:keepLines w:val="0"/>
        <w:pageBreakBefore w:val="0"/>
        <w:kinsoku/>
        <w:wordWrap/>
        <w:overflowPunct/>
        <w:topLinePunct w:val="0"/>
        <w:bidi w:val="0"/>
        <w:adjustRightInd w:val="0"/>
        <w:snapToGrid w:val="0"/>
        <w:spacing w:line="240" w:lineRule="auto"/>
        <w:ind w:left="0" w:leftChars="0" w:firstLine="0" w:firstLineChars="0"/>
        <w:jc w:val="center"/>
        <w:rPr>
          <w:rFonts w:hint="eastAsia" w:ascii="黑体" w:hAnsi="黑体" w:eastAsia="黑体" w:cs="黑体"/>
          <w:b w:val="0"/>
          <w:bCs/>
          <w:color w:val="000000" w:themeColor="text1"/>
          <w:sz w:val="32"/>
          <w:szCs w:val="32"/>
          <w:lang w:val="en-US" w:eastAsia="zh-CN"/>
          <w14:textFill>
            <w14:solidFill>
              <w14:schemeClr w14:val="tx1"/>
            </w14:solidFill>
          </w14:textFill>
        </w:rPr>
        <w:sectPr>
          <w:headerReference r:id="rId7" w:type="first"/>
          <w:footerReference r:id="rId10" w:type="first"/>
          <w:headerReference r:id="rId5" w:type="default"/>
          <w:footerReference r:id="rId8" w:type="default"/>
          <w:headerReference r:id="rId6" w:type="even"/>
          <w:footerReference r:id="rId9" w:type="even"/>
          <w:pgSz w:w="11906" w:h="16838"/>
          <w:pgMar w:top="998" w:right="998" w:bottom="1451" w:left="998" w:header="0" w:footer="992" w:gutter="0"/>
          <w:pgBorders>
            <w:top w:val="none" w:sz="0" w:space="0"/>
            <w:left w:val="none" w:sz="0" w:space="0"/>
            <w:bottom w:val="none" w:sz="0" w:space="0"/>
            <w:right w:val="none" w:sz="0" w:space="0"/>
          </w:pgBorders>
          <w:pgNumType w:fmt="decimal"/>
          <w:cols w:space="425" w:num="1"/>
          <w:docGrid w:type="lines" w:linePitch="312" w:charSpace="0"/>
        </w:sectPr>
      </w:pPr>
      <w:r>
        <w:rPr>
          <w:rFonts w:hint="eastAsia" w:ascii="黑体" w:hAnsi="黑体" w:eastAsia="黑体" w:cs="黑体"/>
          <w:b w:val="0"/>
          <w:bCs/>
          <w:color w:val="000000" w:themeColor="text1"/>
          <w:sz w:val="32"/>
          <w:szCs w:val="32"/>
          <w:lang w:eastAsia="zh-Hans"/>
          <w14:textFill>
            <w14:solidFill>
              <w14:schemeClr w14:val="tx1"/>
            </w14:solidFill>
          </w14:textFill>
        </w:rPr>
        <w:t>编制日期</w:t>
      </w:r>
      <w:r>
        <w:rPr>
          <w:rFonts w:hint="eastAsia" w:ascii="黑体" w:hAnsi="黑体" w:eastAsia="黑体" w:cs="黑体"/>
          <w:b w:val="0"/>
          <w:bCs/>
          <w:color w:val="000000" w:themeColor="text1"/>
          <w:sz w:val="32"/>
          <w:szCs w:val="32"/>
          <w14:textFill>
            <w14:solidFill>
              <w14:schemeClr w14:val="tx1"/>
            </w14:solidFill>
          </w14:textFill>
        </w:rPr>
        <w:t>：</w:t>
      </w:r>
      <w:r>
        <w:rPr>
          <w:rFonts w:hint="eastAsia" w:ascii="黑体" w:hAnsi="黑体" w:eastAsia="黑体" w:cs="黑体"/>
          <w:b w:val="0"/>
          <w:bCs/>
          <w:color w:val="000000" w:themeColor="text1"/>
          <w:sz w:val="32"/>
          <w:szCs w:val="32"/>
          <w:lang w:val="en-US" w:eastAsia="zh-CN"/>
          <w14:textFill>
            <w14:solidFill>
              <w14:schemeClr w14:val="tx1"/>
            </w14:solidFill>
          </w14:textFill>
        </w:rPr>
        <w:t>2026年08月</w:t>
      </w:r>
    </w:p>
    <w:sdt>
      <w:sdtPr>
        <w:rPr>
          <w:rFonts w:ascii="宋体" w:hAnsi="宋体" w:eastAsia="宋体" w:cstheme="minorBidi"/>
          <w:kern w:val="2"/>
          <w:sz w:val="24"/>
          <w:szCs w:val="28"/>
          <w:u w:val="none"/>
          <w:lang w:val="en-US" w:eastAsia="zh-CN" w:bidi="ar-SA"/>
        </w:rPr>
        <w:id w:val="147462672"/>
        <w15:color w:val="DBDBDB"/>
        <w:docPartObj>
          <w:docPartGallery w:val="Table of Contents"/>
          <w:docPartUnique/>
        </w:docPartObj>
      </w:sdtPr>
      <w:sdtEndPr>
        <w:rPr>
          <w:rFonts w:hint="default" w:ascii="黑体" w:hAnsi="黑体" w:eastAsia="黑体" w:cs="黑体"/>
          <w:bCs/>
          <w:color w:val="000000" w:themeColor="text1"/>
          <w:kern w:val="2"/>
          <w:sz w:val="24"/>
          <w:szCs w:val="32"/>
          <w:u w:val="none"/>
          <w:lang w:val="en-US" w:eastAsia="zh-CN" w:bidi="ar-SA"/>
          <w14:textFill>
            <w14:solidFill>
              <w14:schemeClr w14:val="tx1"/>
            </w14:solidFill>
          </w14:textFill>
        </w:rPr>
      </w:sdtEndPr>
      <w:sdtContent>
        <w:p>
          <w:pPr>
            <w:pStyle w:val="16"/>
            <w:pageBreakBefore w:val="0"/>
            <w:tabs>
              <w:tab w:val="right" w:leader="dot" w:pos="8320"/>
            </w:tabs>
            <w:wordWrap/>
            <w:topLinePunct w:val="0"/>
            <w:bidi w:val="0"/>
            <w:adjustRightInd w:val="0"/>
            <w:snapToGrid w:val="0"/>
            <w:spacing w:line="240" w:lineRule="auto"/>
            <w:ind w:right="-14" w:rightChars="0" w:firstLine="0" w:firstLineChars="0"/>
            <w:jc w:val="center"/>
            <w:rPr>
              <w:rStyle w:val="25"/>
              <w:rFonts w:hint="eastAsia" w:ascii="微软雅黑" w:hAnsi="微软雅黑" w:eastAsia="微软雅黑" w:cs="微软雅黑"/>
              <w:b w:val="0"/>
              <w:bCs/>
              <w:snapToGrid w:val="0"/>
              <w:color w:val="000000" w:themeColor="text1"/>
              <w:spacing w:val="8"/>
              <w:sz w:val="28"/>
              <w:szCs w:val="28"/>
              <w:u w:val="none"/>
              <w:lang w:val="en-US" w:eastAsia="zh-CN"/>
              <w14:textFill>
                <w14:solidFill>
                  <w14:schemeClr w14:val="tx1"/>
                </w14:solidFill>
              </w14:textFill>
            </w:rPr>
          </w:pPr>
          <w:r>
            <w:rPr>
              <w:rStyle w:val="25"/>
              <w:rFonts w:hint="eastAsia" w:ascii="微软雅黑" w:hAnsi="微软雅黑" w:eastAsia="微软雅黑" w:cs="微软雅黑"/>
              <w:b w:val="0"/>
              <w:bCs/>
              <w:snapToGrid w:val="0"/>
              <w:color w:val="000000" w:themeColor="text1"/>
              <w:spacing w:val="8"/>
              <w:sz w:val="28"/>
              <w:szCs w:val="28"/>
              <w:u w:val="none"/>
              <w:lang w:val="en-US" w:eastAsia="zh-CN"/>
              <w14:textFill>
                <w14:solidFill>
                  <w14:schemeClr w14:val="tx1"/>
                </w14:solidFill>
              </w14:textFill>
            </w:rPr>
            <w:t>目  录</w:t>
          </w:r>
        </w:p>
        <w:p>
          <w:pPr>
            <w:pStyle w:val="16"/>
            <w:pageBreakBefore w:val="0"/>
            <w:tabs>
              <w:tab w:val="right" w:leader="dot" w:pos="8320"/>
            </w:tabs>
            <w:wordWrap/>
            <w:topLinePunct w:val="0"/>
            <w:bidi w:val="0"/>
            <w:adjustRightInd w:val="0"/>
            <w:snapToGrid w:val="0"/>
            <w:spacing w:line="240" w:lineRule="auto"/>
            <w:ind w:right="-14" w:rightChars="0" w:firstLine="0" w:firstLineChars="0"/>
            <w:jc w:val="cente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pPr>
          <w:r>
            <w:rPr>
              <w:rStyle w:val="25"/>
              <w:rFonts w:hint="default"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begin"/>
          </w:r>
          <w:r>
            <w:rPr>
              <w:rStyle w:val="25"/>
              <w:rFonts w:hint="default"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instrText xml:space="preserve">TOC \o "1-2" \h \u </w:instrText>
          </w:r>
          <w:r>
            <w:rPr>
              <w:rStyle w:val="25"/>
              <w:rFonts w:hint="default"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separate"/>
          </w:r>
          <w:r>
            <w:rPr>
              <w:rStyle w:val="25"/>
              <w:rFonts w:hint="default"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begin"/>
          </w:r>
          <w:r>
            <w:rPr>
              <w:rStyle w:val="25"/>
              <w:rFonts w:hint="default"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instrText xml:space="preserve"> HYPERLINK \l _Toc924 </w:instrText>
          </w:r>
          <w:r>
            <w:rPr>
              <w:rStyle w:val="25"/>
              <w:rFonts w:hint="default"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separate"/>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t>第一章 关于我们</w:t>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tab/>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begin"/>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instrText xml:space="preserve"> PAGEREF _Toc924 \h </w:instrText>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separate"/>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t>1</w:t>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end"/>
          </w:r>
          <w:r>
            <w:rPr>
              <w:rStyle w:val="25"/>
              <w:rFonts w:hint="default"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end"/>
          </w:r>
        </w:p>
        <w:p>
          <w:pPr>
            <w:pStyle w:val="16"/>
            <w:pageBreakBefore w:val="0"/>
            <w:tabs>
              <w:tab w:val="right" w:leader="dot" w:pos="8320"/>
            </w:tabs>
            <w:wordWrap/>
            <w:topLinePunct w:val="0"/>
            <w:bidi w:val="0"/>
            <w:adjustRightInd w:val="0"/>
            <w:snapToGrid w:val="0"/>
            <w:spacing w:line="240" w:lineRule="auto"/>
            <w:ind w:right="-14" w:rightChars="0" w:firstLine="0" w:firstLineChars="0"/>
            <w:jc w:val="cente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pPr>
          <w:r>
            <w:rPr>
              <w:rStyle w:val="25"/>
              <w:rFonts w:hint="default"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begin"/>
          </w:r>
          <w:r>
            <w:rPr>
              <w:rStyle w:val="25"/>
              <w:rFonts w:hint="default"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instrText xml:space="preserve"> HYPERLINK \l _Toc17533 </w:instrText>
          </w:r>
          <w:r>
            <w:rPr>
              <w:rStyle w:val="25"/>
              <w:rFonts w:hint="default"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separate"/>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t>1.1编制说明</w:t>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tab/>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begin"/>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instrText xml:space="preserve"> PAGEREF _Toc17533 \h </w:instrText>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separate"/>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t>1</w:t>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end"/>
          </w:r>
          <w:r>
            <w:rPr>
              <w:rStyle w:val="25"/>
              <w:rFonts w:hint="default"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end"/>
          </w:r>
        </w:p>
        <w:p>
          <w:pPr>
            <w:pStyle w:val="16"/>
            <w:pageBreakBefore w:val="0"/>
            <w:tabs>
              <w:tab w:val="right" w:leader="dot" w:pos="8320"/>
            </w:tabs>
            <w:wordWrap/>
            <w:topLinePunct w:val="0"/>
            <w:bidi w:val="0"/>
            <w:adjustRightInd w:val="0"/>
            <w:snapToGrid w:val="0"/>
            <w:spacing w:line="240" w:lineRule="auto"/>
            <w:ind w:right="-14" w:rightChars="0" w:firstLine="0" w:firstLineChars="0"/>
            <w:jc w:val="cente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pPr>
          <w:r>
            <w:rPr>
              <w:rStyle w:val="25"/>
              <w:rFonts w:hint="default"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begin"/>
          </w:r>
          <w:r>
            <w:rPr>
              <w:rStyle w:val="25"/>
              <w:rFonts w:hint="default"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instrText xml:space="preserve"> HYPERLINK \l _Toc3706 </w:instrText>
          </w:r>
          <w:r>
            <w:rPr>
              <w:rStyle w:val="25"/>
              <w:rFonts w:hint="default"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separate"/>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t>1.2关于我们</w:t>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tab/>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begin"/>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instrText xml:space="preserve"> PAGEREF _Toc3706 \h </w:instrText>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separate"/>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t>1</w:t>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end"/>
          </w:r>
          <w:r>
            <w:rPr>
              <w:rStyle w:val="25"/>
              <w:rFonts w:hint="default"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end"/>
          </w:r>
        </w:p>
        <w:p>
          <w:pPr>
            <w:pStyle w:val="16"/>
            <w:pageBreakBefore w:val="0"/>
            <w:tabs>
              <w:tab w:val="right" w:leader="dot" w:pos="8320"/>
            </w:tabs>
            <w:wordWrap/>
            <w:topLinePunct w:val="0"/>
            <w:bidi w:val="0"/>
            <w:adjustRightInd w:val="0"/>
            <w:snapToGrid w:val="0"/>
            <w:spacing w:line="240" w:lineRule="auto"/>
            <w:ind w:right="-14" w:rightChars="0" w:firstLine="0" w:firstLineChars="0"/>
            <w:jc w:val="cente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pPr>
          <w:r>
            <w:rPr>
              <w:rStyle w:val="25"/>
              <w:rFonts w:hint="default"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begin"/>
          </w:r>
          <w:r>
            <w:rPr>
              <w:rStyle w:val="25"/>
              <w:rFonts w:hint="default"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instrText xml:space="preserve"> HYPERLINK \l _Toc18771 </w:instrText>
          </w:r>
          <w:r>
            <w:rPr>
              <w:rStyle w:val="25"/>
              <w:rFonts w:hint="default"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separate"/>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t>第二章 年度概况</w:t>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tab/>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begin"/>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instrText xml:space="preserve"> PAGEREF _Toc18771 \h </w:instrText>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separate"/>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t>3</w:t>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end"/>
          </w:r>
          <w:r>
            <w:rPr>
              <w:rStyle w:val="25"/>
              <w:rFonts w:hint="default"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end"/>
          </w:r>
        </w:p>
        <w:p>
          <w:pPr>
            <w:pStyle w:val="16"/>
            <w:pageBreakBefore w:val="0"/>
            <w:tabs>
              <w:tab w:val="right" w:leader="dot" w:pos="8320"/>
            </w:tabs>
            <w:wordWrap/>
            <w:topLinePunct w:val="0"/>
            <w:bidi w:val="0"/>
            <w:adjustRightInd w:val="0"/>
            <w:snapToGrid w:val="0"/>
            <w:spacing w:line="240" w:lineRule="auto"/>
            <w:ind w:right="-14" w:rightChars="0" w:firstLine="0" w:firstLineChars="0"/>
            <w:jc w:val="cente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pPr>
          <w:r>
            <w:rPr>
              <w:rStyle w:val="25"/>
              <w:rFonts w:hint="default"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begin"/>
          </w:r>
          <w:r>
            <w:rPr>
              <w:rStyle w:val="25"/>
              <w:rFonts w:hint="default"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instrText xml:space="preserve"> HYPERLINK \l _Toc21064 </w:instrText>
          </w:r>
          <w:r>
            <w:rPr>
              <w:rStyle w:val="25"/>
              <w:rFonts w:hint="default"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separate"/>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t>2.1环境相关目标愿景</w:t>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tab/>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begin"/>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instrText xml:space="preserve"> PAGEREF _Toc21064 \h </w:instrText>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separate"/>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t>3</w:t>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end"/>
          </w:r>
          <w:r>
            <w:rPr>
              <w:rStyle w:val="25"/>
              <w:rFonts w:hint="default"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end"/>
          </w:r>
        </w:p>
        <w:p>
          <w:pPr>
            <w:pStyle w:val="16"/>
            <w:pageBreakBefore w:val="0"/>
            <w:tabs>
              <w:tab w:val="right" w:leader="dot" w:pos="8320"/>
            </w:tabs>
            <w:wordWrap/>
            <w:topLinePunct w:val="0"/>
            <w:bidi w:val="0"/>
            <w:adjustRightInd w:val="0"/>
            <w:snapToGrid w:val="0"/>
            <w:spacing w:line="240" w:lineRule="auto"/>
            <w:ind w:right="-14" w:rightChars="0" w:firstLine="0" w:firstLineChars="0"/>
            <w:jc w:val="cente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pPr>
          <w:r>
            <w:rPr>
              <w:rStyle w:val="25"/>
              <w:rFonts w:hint="default"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begin"/>
          </w:r>
          <w:r>
            <w:rPr>
              <w:rStyle w:val="25"/>
              <w:rFonts w:hint="default"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instrText xml:space="preserve"> HYPERLINK \l _Toc16156 </w:instrText>
          </w:r>
          <w:r>
            <w:rPr>
              <w:rStyle w:val="25"/>
              <w:rFonts w:hint="default"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separate"/>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t>2.2环境相关战略和行动计划</w:t>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tab/>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begin"/>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instrText xml:space="preserve"> PAGEREF _Toc16156 \h </w:instrText>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separate"/>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t>3</w:t>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end"/>
          </w:r>
          <w:r>
            <w:rPr>
              <w:rStyle w:val="25"/>
              <w:rFonts w:hint="default"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end"/>
          </w:r>
        </w:p>
        <w:p>
          <w:pPr>
            <w:pStyle w:val="16"/>
            <w:pageBreakBefore w:val="0"/>
            <w:tabs>
              <w:tab w:val="right" w:leader="dot" w:pos="8320"/>
            </w:tabs>
            <w:wordWrap/>
            <w:topLinePunct w:val="0"/>
            <w:bidi w:val="0"/>
            <w:adjustRightInd w:val="0"/>
            <w:snapToGrid w:val="0"/>
            <w:spacing w:line="240" w:lineRule="auto"/>
            <w:ind w:right="-14" w:rightChars="0" w:firstLine="0" w:firstLineChars="0"/>
            <w:jc w:val="cente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pPr>
          <w:r>
            <w:rPr>
              <w:rStyle w:val="25"/>
              <w:rFonts w:hint="default"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begin"/>
          </w:r>
          <w:r>
            <w:rPr>
              <w:rStyle w:val="25"/>
              <w:rFonts w:hint="default"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instrText xml:space="preserve"> HYPERLINK \l _Toc1273 </w:instrText>
          </w:r>
          <w:r>
            <w:rPr>
              <w:rStyle w:val="25"/>
              <w:rFonts w:hint="default"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separate"/>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t>2.3绿色金融工作亮点</w:t>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tab/>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begin"/>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instrText xml:space="preserve"> PAGEREF _Toc1273 \h </w:instrText>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separate"/>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t>4</w:t>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end"/>
          </w:r>
          <w:r>
            <w:rPr>
              <w:rStyle w:val="25"/>
              <w:rFonts w:hint="default"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end"/>
          </w:r>
        </w:p>
        <w:p>
          <w:pPr>
            <w:pStyle w:val="16"/>
            <w:pageBreakBefore w:val="0"/>
            <w:tabs>
              <w:tab w:val="right" w:leader="dot" w:pos="8320"/>
            </w:tabs>
            <w:wordWrap/>
            <w:topLinePunct w:val="0"/>
            <w:bidi w:val="0"/>
            <w:adjustRightInd w:val="0"/>
            <w:snapToGrid w:val="0"/>
            <w:spacing w:line="240" w:lineRule="auto"/>
            <w:ind w:right="-14" w:rightChars="0" w:firstLine="0" w:firstLineChars="0"/>
            <w:jc w:val="cente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pPr>
          <w:r>
            <w:rPr>
              <w:rStyle w:val="25"/>
              <w:rFonts w:hint="default"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begin"/>
          </w:r>
          <w:r>
            <w:rPr>
              <w:rStyle w:val="25"/>
              <w:rFonts w:hint="default"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instrText xml:space="preserve"> HYPERLINK \l _Toc25604 </w:instrText>
          </w:r>
          <w:r>
            <w:rPr>
              <w:rStyle w:val="25"/>
              <w:rFonts w:hint="default"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separate"/>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t>2.4环境信息关键绩效</w:t>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tab/>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begin"/>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instrText xml:space="preserve"> PAGEREF _Toc25604 \h </w:instrText>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separate"/>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t>5</w:t>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end"/>
          </w:r>
          <w:r>
            <w:rPr>
              <w:rStyle w:val="25"/>
              <w:rFonts w:hint="default"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end"/>
          </w:r>
        </w:p>
        <w:p>
          <w:pPr>
            <w:pStyle w:val="16"/>
            <w:pageBreakBefore w:val="0"/>
            <w:tabs>
              <w:tab w:val="right" w:leader="dot" w:pos="8320"/>
            </w:tabs>
            <w:wordWrap/>
            <w:topLinePunct w:val="0"/>
            <w:bidi w:val="0"/>
            <w:adjustRightInd w:val="0"/>
            <w:snapToGrid w:val="0"/>
            <w:spacing w:line="240" w:lineRule="auto"/>
            <w:ind w:right="-14" w:rightChars="0" w:firstLine="0" w:firstLineChars="0"/>
            <w:jc w:val="cente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pPr>
          <w:r>
            <w:rPr>
              <w:rStyle w:val="25"/>
              <w:rFonts w:hint="default"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begin"/>
          </w:r>
          <w:r>
            <w:rPr>
              <w:rStyle w:val="25"/>
              <w:rFonts w:hint="default"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instrText xml:space="preserve"> HYPERLINK \l _Toc29675 </w:instrText>
          </w:r>
          <w:r>
            <w:rPr>
              <w:rStyle w:val="25"/>
              <w:rFonts w:hint="default"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separate"/>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t>第三章 环境相关治理结构</w:t>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tab/>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begin"/>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instrText xml:space="preserve"> PAGEREF _Toc29675 \h </w:instrText>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separate"/>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t>7</w:t>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end"/>
          </w:r>
          <w:r>
            <w:rPr>
              <w:rStyle w:val="25"/>
              <w:rFonts w:hint="default"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end"/>
          </w:r>
        </w:p>
        <w:p>
          <w:pPr>
            <w:pStyle w:val="16"/>
            <w:pageBreakBefore w:val="0"/>
            <w:tabs>
              <w:tab w:val="right" w:leader="dot" w:pos="8320"/>
            </w:tabs>
            <w:wordWrap/>
            <w:topLinePunct w:val="0"/>
            <w:bidi w:val="0"/>
            <w:adjustRightInd w:val="0"/>
            <w:snapToGrid w:val="0"/>
            <w:spacing w:line="240" w:lineRule="auto"/>
            <w:ind w:right="-14" w:rightChars="0" w:firstLine="0" w:firstLineChars="0"/>
            <w:jc w:val="cente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pPr>
          <w:r>
            <w:rPr>
              <w:rStyle w:val="25"/>
              <w:rFonts w:hint="default"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begin"/>
          </w:r>
          <w:r>
            <w:rPr>
              <w:rStyle w:val="25"/>
              <w:rFonts w:hint="default"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instrText xml:space="preserve"> HYPERLINK \l _Toc16464 </w:instrText>
          </w:r>
          <w:r>
            <w:rPr>
              <w:rStyle w:val="25"/>
              <w:rFonts w:hint="default"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separate"/>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t>3.1总行层面</w:t>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tab/>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begin"/>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instrText xml:space="preserve"> PAGEREF _Toc16464 \h </w:instrText>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separate"/>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t>7</w:t>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end"/>
          </w:r>
          <w:r>
            <w:rPr>
              <w:rStyle w:val="25"/>
              <w:rFonts w:hint="default"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end"/>
          </w:r>
        </w:p>
        <w:p>
          <w:pPr>
            <w:pStyle w:val="16"/>
            <w:pageBreakBefore w:val="0"/>
            <w:tabs>
              <w:tab w:val="right" w:leader="dot" w:pos="8320"/>
            </w:tabs>
            <w:wordWrap/>
            <w:topLinePunct w:val="0"/>
            <w:bidi w:val="0"/>
            <w:adjustRightInd w:val="0"/>
            <w:snapToGrid w:val="0"/>
            <w:spacing w:line="240" w:lineRule="auto"/>
            <w:ind w:right="-14" w:rightChars="0" w:firstLine="0" w:firstLineChars="0"/>
            <w:jc w:val="cente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pPr>
          <w:r>
            <w:rPr>
              <w:rStyle w:val="25"/>
              <w:rFonts w:hint="default"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begin"/>
          </w:r>
          <w:r>
            <w:rPr>
              <w:rStyle w:val="25"/>
              <w:rFonts w:hint="default"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instrText xml:space="preserve"> HYPERLINK \l _Toc7488 </w:instrText>
          </w:r>
          <w:r>
            <w:rPr>
              <w:rStyle w:val="25"/>
              <w:rFonts w:hint="default"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separate"/>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t>3.2支行层面</w:t>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tab/>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begin"/>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instrText xml:space="preserve"> PAGEREF _Toc7488 \h </w:instrText>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separate"/>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t>8</w:t>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end"/>
          </w:r>
          <w:r>
            <w:rPr>
              <w:rStyle w:val="25"/>
              <w:rFonts w:hint="default"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end"/>
          </w:r>
        </w:p>
        <w:p>
          <w:pPr>
            <w:pStyle w:val="16"/>
            <w:pageBreakBefore w:val="0"/>
            <w:tabs>
              <w:tab w:val="right" w:leader="dot" w:pos="8320"/>
            </w:tabs>
            <w:wordWrap/>
            <w:topLinePunct w:val="0"/>
            <w:bidi w:val="0"/>
            <w:adjustRightInd w:val="0"/>
            <w:snapToGrid w:val="0"/>
            <w:spacing w:line="240" w:lineRule="auto"/>
            <w:ind w:right="-14" w:rightChars="0" w:firstLine="0" w:firstLineChars="0"/>
            <w:jc w:val="cente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pPr>
          <w:r>
            <w:rPr>
              <w:rStyle w:val="25"/>
              <w:rFonts w:hint="default"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begin"/>
          </w:r>
          <w:r>
            <w:rPr>
              <w:rStyle w:val="25"/>
              <w:rFonts w:hint="default"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instrText xml:space="preserve"> HYPERLINK \l _Toc23747 </w:instrText>
          </w:r>
          <w:r>
            <w:rPr>
              <w:rStyle w:val="25"/>
              <w:rFonts w:hint="default"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separate"/>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t>3.3绿色金融专营机构</w:t>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tab/>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begin"/>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instrText xml:space="preserve"> PAGEREF _Toc23747 \h </w:instrText>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separate"/>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t>8</w:t>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end"/>
          </w:r>
          <w:r>
            <w:rPr>
              <w:rStyle w:val="25"/>
              <w:rFonts w:hint="default"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end"/>
          </w:r>
        </w:p>
        <w:p>
          <w:pPr>
            <w:pStyle w:val="16"/>
            <w:pageBreakBefore w:val="0"/>
            <w:tabs>
              <w:tab w:val="right" w:leader="dot" w:pos="8320"/>
            </w:tabs>
            <w:wordWrap/>
            <w:topLinePunct w:val="0"/>
            <w:bidi w:val="0"/>
            <w:adjustRightInd w:val="0"/>
            <w:snapToGrid w:val="0"/>
            <w:spacing w:line="240" w:lineRule="auto"/>
            <w:ind w:right="-14" w:rightChars="0" w:firstLine="0" w:firstLineChars="0"/>
            <w:jc w:val="cente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pPr>
          <w:r>
            <w:rPr>
              <w:rStyle w:val="25"/>
              <w:rFonts w:hint="default"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begin"/>
          </w:r>
          <w:r>
            <w:rPr>
              <w:rStyle w:val="25"/>
              <w:rFonts w:hint="default"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instrText xml:space="preserve"> HYPERLINK \l _Toc1333 </w:instrText>
          </w:r>
          <w:r>
            <w:rPr>
              <w:rStyle w:val="25"/>
              <w:rFonts w:hint="default"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separate"/>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t>第四章 环境相关政策制度</w:t>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tab/>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begin"/>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instrText xml:space="preserve"> PAGEREF _Toc1333 \h </w:instrText>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separate"/>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t>10</w:t>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end"/>
          </w:r>
          <w:r>
            <w:rPr>
              <w:rStyle w:val="25"/>
              <w:rFonts w:hint="default"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end"/>
          </w:r>
        </w:p>
        <w:p>
          <w:pPr>
            <w:pStyle w:val="16"/>
            <w:pageBreakBefore w:val="0"/>
            <w:tabs>
              <w:tab w:val="right" w:leader="dot" w:pos="8320"/>
            </w:tabs>
            <w:wordWrap/>
            <w:topLinePunct w:val="0"/>
            <w:bidi w:val="0"/>
            <w:adjustRightInd w:val="0"/>
            <w:snapToGrid w:val="0"/>
            <w:spacing w:line="240" w:lineRule="auto"/>
            <w:ind w:right="-14" w:rightChars="0" w:firstLine="0" w:firstLineChars="0"/>
            <w:jc w:val="cente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pPr>
          <w:r>
            <w:rPr>
              <w:rStyle w:val="25"/>
              <w:rFonts w:hint="default"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begin"/>
          </w:r>
          <w:r>
            <w:rPr>
              <w:rStyle w:val="25"/>
              <w:rFonts w:hint="default"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instrText xml:space="preserve"> HYPERLINK \l _Toc22815 </w:instrText>
          </w:r>
          <w:r>
            <w:rPr>
              <w:rStyle w:val="25"/>
              <w:rFonts w:hint="default"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separate"/>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t>4.1落实国家战略部署</w:t>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tab/>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begin"/>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instrText xml:space="preserve"> PAGEREF _Toc22815 \h </w:instrText>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separate"/>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t>10</w:t>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end"/>
          </w:r>
          <w:r>
            <w:rPr>
              <w:rStyle w:val="25"/>
              <w:rFonts w:hint="default"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end"/>
          </w:r>
        </w:p>
        <w:p>
          <w:pPr>
            <w:pStyle w:val="16"/>
            <w:pageBreakBefore w:val="0"/>
            <w:tabs>
              <w:tab w:val="right" w:leader="dot" w:pos="8320"/>
            </w:tabs>
            <w:wordWrap/>
            <w:topLinePunct w:val="0"/>
            <w:bidi w:val="0"/>
            <w:adjustRightInd w:val="0"/>
            <w:snapToGrid w:val="0"/>
            <w:spacing w:line="240" w:lineRule="auto"/>
            <w:ind w:right="-14" w:rightChars="0" w:firstLine="0" w:firstLineChars="0"/>
            <w:jc w:val="cente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pPr>
          <w:r>
            <w:rPr>
              <w:rStyle w:val="25"/>
              <w:rFonts w:hint="default"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begin"/>
          </w:r>
          <w:r>
            <w:rPr>
              <w:rStyle w:val="25"/>
              <w:rFonts w:hint="default"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instrText xml:space="preserve"> HYPERLINK \l _Toc12049 </w:instrText>
          </w:r>
          <w:r>
            <w:rPr>
              <w:rStyle w:val="25"/>
              <w:rFonts w:hint="default"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separate"/>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t>4.2地方政策落地执行</w:t>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tab/>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begin"/>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instrText xml:space="preserve"> PAGEREF _Toc12049 \h </w:instrText>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separate"/>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t>10</w:t>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end"/>
          </w:r>
          <w:r>
            <w:rPr>
              <w:rStyle w:val="25"/>
              <w:rFonts w:hint="default"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end"/>
          </w:r>
        </w:p>
        <w:p>
          <w:pPr>
            <w:pStyle w:val="16"/>
            <w:pageBreakBefore w:val="0"/>
            <w:tabs>
              <w:tab w:val="right" w:leader="dot" w:pos="8320"/>
            </w:tabs>
            <w:wordWrap/>
            <w:topLinePunct w:val="0"/>
            <w:bidi w:val="0"/>
            <w:adjustRightInd w:val="0"/>
            <w:snapToGrid w:val="0"/>
            <w:spacing w:line="240" w:lineRule="auto"/>
            <w:ind w:right="-14" w:rightChars="0" w:firstLine="0" w:firstLineChars="0"/>
            <w:jc w:val="cente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pPr>
          <w:r>
            <w:rPr>
              <w:rStyle w:val="25"/>
              <w:rFonts w:hint="default"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begin"/>
          </w:r>
          <w:r>
            <w:rPr>
              <w:rStyle w:val="25"/>
              <w:rFonts w:hint="default"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instrText xml:space="preserve"> HYPERLINK \l _Toc19416 </w:instrText>
          </w:r>
          <w:r>
            <w:rPr>
              <w:rStyle w:val="25"/>
              <w:rFonts w:hint="default"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separate"/>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t>4.3建立健全内部制度体系</w:t>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tab/>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begin"/>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instrText xml:space="preserve"> PAGEREF _Toc19416 \h </w:instrText>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separate"/>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t>12</w:t>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end"/>
          </w:r>
          <w:r>
            <w:rPr>
              <w:rStyle w:val="25"/>
              <w:rFonts w:hint="default"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end"/>
          </w:r>
        </w:p>
        <w:p>
          <w:pPr>
            <w:pStyle w:val="16"/>
            <w:pageBreakBefore w:val="0"/>
            <w:tabs>
              <w:tab w:val="right" w:leader="dot" w:pos="8320"/>
            </w:tabs>
            <w:wordWrap/>
            <w:topLinePunct w:val="0"/>
            <w:bidi w:val="0"/>
            <w:adjustRightInd w:val="0"/>
            <w:snapToGrid w:val="0"/>
            <w:spacing w:line="240" w:lineRule="auto"/>
            <w:ind w:right="-14" w:rightChars="0" w:firstLine="0" w:firstLineChars="0"/>
            <w:jc w:val="cente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pPr>
          <w:r>
            <w:rPr>
              <w:rStyle w:val="25"/>
              <w:rFonts w:hint="default"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begin"/>
          </w:r>
          <w:r>
            <w:rPr>
              <w:rStyle w:val="25"/>
              <w:rFonts w:hint="default"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instrText xml:space="preserve"> HYPERLINK \l _Toc7836 </w:instrText>
          </w:r>
          <w:r>
            <w:rPr>
              <w:rStyle w:val="25"/>
              <w:rFonts w:hint="default"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separate"/>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t>4.4国际标准与倡议采纳</w:t>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tab/>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begin"/>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instrText xml:space="preserve"> PAGEREF _Toc7836 \h </w:instrText>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separate"/>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t>13</w:t>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end"/>
          </w:r>
          <w:r>
            <w:rPr>
              <w:rStyle w:val="25"/>
              <w:rFonts w:hint="default"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end"/>
          </w:r>
        </w:p>
        <w:p>
          <w:pPr>
            <w:pStyle w:val="16"/>
            <w:pageBreakBefore w:val="0"/>
            <w:tabs>
              <w:tab w:val="right" w:leader="dot" w:pos="8320"/>
            </w:tabs>
            <w:wordWrap/>
            <w:topLinePunct w:val="0"/>
            <w:bidi w:val="0"/>
            <w:adjustRightInd w:val="0"/>
            <w:snapToGrid w:val="0"/>
            <w:spacing w:line="240" w:lineRule="auto"/>
            <w:ind w:right="-14" w:rightChars="0" w:firstLine="0" w:firstLineChars="0"/>
            <w:jc w:val="cente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pPr>
          <w:r>
            <w:rPr>
              <w:rStyle w:val="25"/>
              <w:rFonts w:hint="default"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begin"/>
          </w:r>
          <w:r>
            <w:rPr>
              <w:rStyle w:val="25"/>
              <w:rFonts w:hint="default"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instrText xml:space="preserve"> HYPERLINK \l _Toc23601 </w:instrText>
          </w:r>
          <w:r>
            <w:rPr>
              <w:rStyle w:val="25"/>
              <w:rFonts w:hint="default"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separate"/>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t>第五章 环境风险管理流程</w:t>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tab/>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begin"/>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instrText xml:space="preserve"> PAGEREF _Toc23601 \h </w:instrText>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separate"/>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t>15</w:t>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end"/>
          </w:r>
          <w:r>
            <w:rPr>
              <w:rStyle w:val="25"/>
              <w:rFonts w:hint="default"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end"/>
          </w:r>
        </w:p>
        <w:p>
          <w:pPr>
            <w:pStyle w:val="16"/>
            <w:pageBreakBefore w:val="0"/>
            <w:tabs>
              <w:tab w:val="right" w:leader="dot" w:pos="8320"/>
            </w:tabs>
            <w:wordWrap/>
            <w:topLinePunct w:val="0"/>
            <w:bidi w:val="0"/>
            <w:adjustRightInd w:val="0"/>
            <w:snapToGrid w:val="0"/>
            <w:spacing w:line="240" w:lineRule="auto"/>
            <w:ind w:right="-14" w:rightChars="0" w:firstLine="0" w:firstLineChars="0"/>
            <w:jc w:val="cente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pPr>
          <w:r>
            <w:rPr>
              <w:rStyle w:val="25"/>
              <w:rFonts w:hint="default"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begin"/>
          </w:r>
          <w:r>
            <w:rPr>
              <w:rStyle w:val="25"/>
              <w:rFonts w:hint="default"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instrText xml:space="preserve"> HYPERLINK \l _Toc11842 </w:instrText>
          </w:r>
          <w:r>
            <w:rPr>
              <w:rStyle w:val="25"/>
              <w:rFonts w:hint="default"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separate"/>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t>5.1识别和评估环境风险</w:t>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tab/>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begin"/>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instrText xml:space="preserve"> PAGEREF _Toc11842 \h </w:instrText>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separate"/>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t>15</w:t>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end"/>
          </w:r>
          <w:r>
            <w:rPr>
              <w:rStyle w:val="25"/>
              <w:rFonts w:hint="default"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end"/>
          </w:r>
        </w:p>
        <w:p>
          <w:pPr>
            <w:pStyle w:val="16"/>
            <w:pageBreakBefore w:val="0"/>
            <w:tabs>
              <w:tab w:val="right" w:leader="dot" w:pos="8320"/>
            </w:tabs>
            <w:wordWrap/>
            <w:topLinePunct w:val="0"/>
            <w:bidi w:val="0"/>
            <w:adjustRightInd w:val="0"/>
            <w:snapToGrid w:val="0"/>
            <w:spacing w:line="240" w:lineRule="auto"/>
            <w:ind w:right="-14" w:rightChars="0" w:firstLine="0" w:firstLineChars="0"/>
            <w:jc w:val="cente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pPr>
          <w:r>
            <w:rPr>
              <w:rStyle w:val="25"/>
              <w:rFonts w:hint="default"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begin"/>
          </w:r>
          <w:r>
            <w:rPr>
              <w:rStyle w:val="25"/>
              <w:rFonts w:hint="default"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instrText xml:space="preserve"> HYPERLINK \l _Toc21075 </w:instrText>
          </w:r>
          <w:r>
            <w:rPr>
              <w:rStyle w:val="25"/>
              <w:rFonts w:hint="default"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separate"/>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t>5.2环境风险的监控流程和防控措施</w:t>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tab/>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begin"/>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instrText xml:space="preserve"> PAGEREF _Toc21075 \h </w:instrText>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separate"/>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t>16</w:t>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end"/>
          </w:r>
          <w:r>
            <w:rPr>
              <w:rStyle w:val="25"/>
              <w:rFonts w:hint="default"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end"/>
          </w:r>
        </w:p>
        <w:p>
          <w:pPr>
            <w:pStyle w:val="16"/>
            <w:pageBreakBefore w:val="0"/>
            <w:tabs>
              <w:tab w:val="right" w:leader="dot" w:pos="8320"/>
            </w:tabs>
            <w:wordWrap/>
            <w:topLinePunct w:val="0"/>
            <w:bidi w:val="0"/>
            <w:adjustRightInd w:val="0"/>
            <w:snapToGrid w:val="0"/>
            <w:spacing w:line="240" w:lineRule="auto"/>
            <w:ind w:right="-14" w:rightChars="0" w:firstLine="0" w:firstLineChars="0"/>
            <w:jc w:val="cente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pPr>
          <w:r>
            <w:rPr>
              <w:rStyle w:val="25"/>
              <w:rFonts w:hint="default"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begin"/>
          </w:r>
          <w:r>
            <w:rPr>
              <w:rStyle w:val="25"/>
              <w:rFonts w:hint="default"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instrText xml:space="preserve"> HYPERLINK \l _Toc10055 </w:instrText>
          </w:r>
          <w:r>
            <w:rPr>
              <w:rStyle w:val="25"/>
              <w:rFonts w:hint="default"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separate"/>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t>5.3识别和评估环境机遇</w:t>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tab/>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begin"/>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instrText xml:space="preserve"> PAGEREF _Toc10055 \h </w:instrText>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separate"/>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t>17</w:t>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end"/>
          </w:r>
          <w:r>
            <w:rPr>
              <w:rStyle w:val="25"/>
              <w:rFonts w:hint="default"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end"/>
          </w:r>
        </w:p>
        <w:p>
          <w:pPr>
            <w:pStyle w:val="16"/>
            <w:pageBreakBefore w:val="0"/>
            <w:tabs>
              <w:tab w:val="right" w:leader="dot" w:pos="8320"/>
            </w:tabs>
            <w:wordWrap/>
            <w:topLinePunct w:val="0"/>
            <w:bidi w:val="0"/>
            <w:adjustRightInd w:val="0"/>
            <w:snapToGrid w:val="0"/>
            <w:spacing w:line="240" w:lineRule="auto"/>
            <w:ind w:right="-14" w:rightChars="0" w:firstLine="0" w:firstLineChars="0"/>
            <w:jc w:val="cente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pPr>
          <w:r>
            <w:rPr>
              <w:rStyle w:val="25"/>
              <w:rFonts w:hint="default"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begin"/>
          </w:r>
          <w:r>
            <w:rPr>
              <w:rStyle w:val="25"/>
              <w:rFonts w:hint="default"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instrText xml:space="preserve"> HYPERLINK \l _Toc29991 </w:instrText>
          </w:r>
          <w:r>
            <w:rPr>
              <w:rStyle w:val="25"/>
              <w:rFonts w:hint="default"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separate"/>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t>5.4情景分析与压力测试</w:t>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tab/>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begin"/>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instrText xml:space="preserve"> PAGEREF _Toc29991 \h </w:instrText>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separate"/>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t>19</w:t>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end"/>
          </w:r>
          <w:r>
            <w:rPr>
              <w:rStyle w:val="25"/>
              <w:rFonts w:hint="default"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end"/>
          </w:r>
        </w:p>
        <w:p>
          <w:pPr>
            <w:pStyle w:val="16"/>
            <w:pageBreakBefore w:val="0"/>
            <w:tabs>
              <w:tab w:val="right" w:leader="dot" w:pos="8320"/>
            </w:tabs>
            <w:wordWrap/>
            <w:topLinePunct w:val="0"/>
            <w:bidi w:val="0"/>
            <w:adjustRightInd w:val="0"/>
            <w:snapToGrid w:val="0"/>
            <w:spacing w:line="240" w:lineRule="auto"/>
            <w:ind w:right="-14" w:rightChars="0" w:firstLine="0" w:firstLineChars="0"/>
            <w:jc w:val="cente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pPr>
          <w:r>
            <w:rPr>
              <w:rStyle w:val="25"/>
              <w:rFonts w:hint="default"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begin"/>
          </w:r>
          <w:r>
            <w:rPr>
              <w:rStyle w:val="25"/>
              <w:rFonts w:hint="default"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instrText xml:space="preserve"> HYPERLINK \l _Toc13504 </w:instrText>
          </w:r>
          <w:r>
            <w:rPr>
              <w:rStyle w:val="25"/>
              <w:rFonts w:hint="default"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separate"/>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t>5.5利益相关方环境议题管理</w:t>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tab/>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begin"/>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instrText xml:space="preserve"> PAGEREF _Toc13504 \h </w:instrText>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separate"/>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t>21</w:t>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end"/>
          </w:r>
          <w:r>
            <w:rPr>
              <w:rStyle w:val="25"/>
              <w:rFonts w:hint="default"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end"/>
          </w:r>
        </w:p>
        <w:p>
          <w:pPr>
            <w:pStyle w:val="16"/>
            <w:pageBreakBefore w:val="0"/>
            <w:tabs>
              <w:tab w:val="right" w:leader="dot" w:pos="8320"/>
            </w:tabs>
            <w:wordWrap/>
            <w:topLinePunct w:val="0"/>
            <w:bidi w:val="0"/>
            <w:adjustRightInd w:val="0"/>
            <w:snapToGrid w:val="0"/>
            <w:spacing w:line="240" w:lineRule="auto"/>
            <w:ind w:right="-14" w:rightChars="0" w:firstLine="0" w:firstLineChars="0"/>
            <w:jc w:val="cente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pPr>
          <w:r>
            <w:rPr>
              <w:rStyle w:val="25"/>
              <w:rFonts w:hint="default"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begin"/>
          </w:r>
          <w:r>
            <w:rPr>
              <w:rStyle w:val="25"/>
              <w:rFonts w:hint="default"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instrText xml:space="preserve"> HYPERLINK \l _Toc3066 </w:instrText>
          </w:r>
          <w:r>
            <w:rPr>
              <w:rStyle w:val="25"/>
              <w:rFonts w:hint="default"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separate"/>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t>第六章 经营活动的环境影响</w:t>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tab/>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begin"/>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instrText xml:space="preserve"> PAGEREF _Toc3066 \h </w:instrText>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separate"/>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t>23</w:t>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end"/>
          </w:r>
          <w:r>
            <w:rPr>
              <w:rStyle w:val="25"/>
              <w:rFonts w:hint="default"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end"/>
          </w:r>
        </w:p>
        <w:p>
          <w:pPr>
            <w:pStyle w:val="16"/>
            <w:pageBreakBefore w:val="0"/>
            <w:tabs>
              <w:tab w:val="right" w:leader="dot" w:pos="8320"/>
            </w:tabs>
            <w:wordWrap/>
            <w:topLinePunct w:val="0"/>
            <w:bidi w:val="0"/>
            <w:adjustRightInd w:val="0"/>
            <w:snapToGrid w:val="0"/>
            <w:spacing w:line="240" w:lineRule="auto"/>
            <w:ind w:right="-14" w:rightChars="0" w:firstLine="0" w:firstLineChars="0"/>
            <w:jc w:val="cente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pPr>
          <w:r>
            <w:rPr>
              <w:rStyle w:val="25"/>
              <w:rFonts w:hint="default"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begin"/>
          </w:r>
          <w:r>
            <w:rPr>
              <w:rStyle w:val="25"/>
              <w:rFonts w:hint="default"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instrText xml:space="preserve"> HYPERLINK \l _Toc20267 </w:instrText>
          </w:r>
          <w:r>
            <w:rPr>
              <w:rStyle w:val="25"/>
              <w:rFonts w:hint="default"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separate"/>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t>6.1自身经营的能源和资源消耗</w:t>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tab/>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begin"/>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instrText xml:space="preserve"> PAGEREF _Toc20267 \h </w:instrText>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separate"/>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t>23</w:t>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end"/>
          </w:r>
          <w:r>
            <w:rPr>
              <w:rStyle w:val="25"/>
              <w:rFonts w:hint="default"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end"/>
          </w:r>
        </w:p>
        <w:p>
          <w:pPr>
            <w:pStyle w:val="16"/>
            <w:pageBreakBefore w:val="0"/>
            <w:tabs>
              <w:tab w:val="right" w:leader="dot" w:pos="8320"/>
            </w:tabs>
            <w:wordWrap/>
            <w:topLinePunct w:val="0"/>
            <w:bidi w:val="0"/>
            <w:adjustRightInd w:val="0"/>
            <w:snapToGrid w:val="0"/>
            <w:spacing w:line="240" w:lineRule="auto"/>
            <w:ind w:right="-14" w:rightChars="0" w:firstLine="0" w:firstLineChars="0"/>
            <w:jc w:val="cente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pPr>
          <w:r>
            <w:rPr>
              <w:rStyle w:val="25"/>
              <w:rFonts w:hint="default"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begin"/>
          </w:r>
          <w:r>
            <w:rPr>
              <w:rStyle w:val="25"/>
              <w:rFonts w:hint="default"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instrText xml:space="preserve"> HYPERLINK \l _Toc18990 </w:instrText>
          </w:r>
          <w:r>
            <w:rPr>
              <w:rStyle w:val="25"/>
              <w:rFonts w:hint="default"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separate"/>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t>6.2自身经营的碳排放</w:t>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tab/>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begin"/>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instrText xml:space="preserve"> PAGEREF _Toc18990 \h </w:instrText>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separate"/>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t>24</w:t>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end"/>
          </w:r>
          <w:r>
            <w:rPr>
              <w:rStyle w:val="25"/>
              <w:rFonts w:hint="default"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end"/>
          </w:r>
        </w:p>
        <w:p>
          <w:pPr>
            <w:pStyle w:val="16"/>
            <w:pageBreakBefore w:val="0"/>
            <w:tabs>
              <w:tab w:val="right" w:leader="dot" w:pos="8320"/>
            </w:tabs>
            <w:wordWrap/>
            <w:topLinePunct w:val="0"/>
            <w:bidi w:val="0"/>
            <w:adjustRightInd w:val="0"/>
            <w:snapToGrid w:val="0"/>
            <w:spacing w:line="240" w:lineRule="auto"/>
            <w:ind w:right="-14" w:rightChars="0" w:firstLine="0" w:firstLineChars="0"/>
            <w:jc w:val="cente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pPr>
          <w:r>
            <w:rPr>
              <w:rStyle w:val="25"/>
              <w:rFonts w:hint="default"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begin"/>
          </w:r>
          <w:r>
            <w:rPr>
              <w:rStyle w:val="25"/>
              <w:rFonts w:hint="default"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instrText xml:space="preserve"> HYPERLINK \l _Toc28116 </w:instrText>
          </w:r>
          <w:r>
            <w:rPr>
              <w:rStyle w:val="25"/>
              <w:rFonts w:hint="default"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separate"/>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t>6.3自身经营的碳减排</w:t>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tab/>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begin"/>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instrText xml:space="preserve"> PAGEREF _Toc28116 \h </w:instrText>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separate"/>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t>27</w:t>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end"/>
          </w:r>
          <w:r>
            <w:rPr>
              <w:rStyle w:val="25"/>
              <w:rFonts w:hint="default"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end"/>
          </w:r>
        </w:p>
        <w:p>
          <w:pPr>
            <w:pStyle w:val="16"/>
            <w:pageBreakBefore w:val="0"/>
            <w:tabs>
              <w:tab w:val="right" w:leader="dot" w:pos="8320"/>
            </w:tabs>
            <w:wordWrap/>
            <w:topLinePunct w:val="0"/>
            <w:bidi w:val="0"/>
            <w:adjustRightInd w:val="0"/>
            <w:snapToGrid w:val="0"/>
            <w:spacing w:line="240" w:lineRule="auto"/>
            <w:ind w:right="-14" w:rightChars="0" w:firstLine="0" w:firstLineChars="0"/>
            <w:jc w:val="cente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pPr>
          <w:r>
            <w:rPr>
              <w:rStyle w:val="25"/>
              <w:rFonts w:hint="default"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begin"/>
          </w:r>
          <w:r>
            <w:rPr>
              <w:rStyle w:val="25"/>
              <w:rFonts w:hint="default"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instrText xml:space="preserve"> HYPERLINK \l _Toc23941 </w:instrText>
          </w:r>
          <w:r>
            <w:rPr>
              <w:rStyle w:val="25"/>
              <w:rFonts w:hint="default"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separate"/>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t>第七章 投融资活动的环境影响</w:t>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tab/>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begin"/>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instrText xml:space="preserve"> PAGEREF _Toc23941 \h </w:instrText>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separate"/>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t>28</w:t>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end"/>
          </w:r>
          <w:r>
            <w:rPr>
              <w:rStyle w:val="25"/>
              <w:rFonts w:hint="default"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end"/>
          </w:r>
        </w:p>
        <w:p>
          <w:pPr>
            <w:pStyle w:val="16"/>
            <w:pageBreakBefore w:val="0"/>
            <w:tabs>
              <w:tab w:val="right" w:leader="dot" w:pos="8320"/>
            </w:tabs>
            <w:wordWrap/>
            <w:topLinePunct w:val="0"/>
            <w:bidi w:val="0"/>
            <w:adjustRightInd w:val="0"/>
            <w:snapToGrid w:val="0"/>
            <w:spacing w:line="240" w:lineRule="auto"/>
            <w:ind w:right="-14" w:rightChars="0" w:firstLine="0" w:firstLineChars="0"/>
            <w:jc w:val="cente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pPr>
          <w:r>
            <w:rPr>
              <w:rStyle w:val="25"/>
              <w:rFonts w:hint="default"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begin"/>
          </w:r>
          <w:r>
            <w:rPr>
              <w:rStyle w:val="25"/>
              <w:rFonts w:hint="default"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instrText xml:space="preserve"> HYPERLINK \l _Toc29812 </w:instrText>
          </w:r>
          <w:r>
            <w:rPr>
              <w:rStyle w:val="25"/>
              <w:rFonts w:hint="default"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separate"/>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t>7.1信贷资产</w:t>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tab/>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begin"/>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instrText xml:space="preserve"> PAGEREF _Toc29812 \h </w:instrText>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separate"/>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t>28</w:t>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end"/>
          </w:r>
          <w:r>
            <w:rPr>
              <w:rStyle w:val="25"/>
              <w:rFonts w:hint="default"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end"/>
          </w:r>
        </w:p>
        <w:p>
          <w:pPr>
            <w:pStyle w:val="16"/>
            <w:pageBreakBefore w:val="0"/>
            <w:tabs>
              <w:tab w:val="right" w:leader="dot" w:pos="8320"/>
            </w:tabs>
            <w:wordWrap/>
            <w:topLinePunct w:val="0"/>
            <w:bidi w:val="0"/>
            <w:adjustRightInd w:val="0"/>
            <w:snapToGrid w:val="0"/>
            <w:spacing w:line="240" w:lineRule="auto"/>
            <w:ind w:right="-14" w:rightChars="0" w:firstLine="0" w:firstLineChars="0"/>
            <w:jc w:val="cente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pPr>
          <w:r>
            <w:rPr>
              <w:rStyle w:val="25"/>
              <w:rFonts w:hint="default"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begin"/>
          </w:r>
          <w:r>
            <w:rPr>
              <w:rStyle w:val="25"/>
              <w:rFonts w:hint="default"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instrText xml:space="preserve"> HYPERLINK \l _Toc23507 </w:instrText>
          </w:r>
          <w:r>
            <w:rPr>
              <w:rStyle w:val="25"/>
              <w:rFonts w:hint="default"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separate"/>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t>7.2债券资产</w:t>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tab/>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begin"/>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instrText xml:space="preserve"> PAGEREF _Toc23507 \h </w:instrText>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separate"/>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t>29</w:t>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end"/>
          </w:r>
          <w:r>
            <w:rPr>
              <w:rStyle w:val="25"/>
              <w:rFonts w:hint="default"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end"/>
          </w:r>
        </w:p>
        <w:p>
          <w:pPr>
            <w:pStyle w:val="16"/>
            <w:pageBreakBefore w:val="0"/>
            <w:tabs>
              <w:tab w:val="right" w:leader="dot" w:pos="8320"/>
            </w:tabs>
            <w:wordWrap/>
            <w:topLinePunct w:val="0"/>
            <w:bidi w:val="0"/>
            <w:adjustRightInd w:val="0"/>
            <w:snapToGrid w:val="0"/>
            <w:spacing w:line="240" w:lineRule="auto"/>
            <w:ind w:right="-14" w:rightChars="0" w:firstLine="0" w:firstLineChars="0"/>
            <w:jc w:val="cente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pPr>
          <w:r>
            <w:rPr>
              <w:rStyle w:val="25"/>
              <w:rFonts w:hint="default"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begin"/>
          </w:r>
          <w:r>
            <w:rPr>
              <w:rStyle w:val="25"/>
              <w:rFonts w:hint="default"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instrText xml:space="preserve"> HYPERLINK \l _Toc18085 </w:instrText>
          </w:r>
          <w:r>
            <w:rPr>
              <w:rStyle w:val="25"/>
              <w:rFonts w:hint="default"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separate"/>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t>7.3投融资（总计）</w:t>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tab/>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begin"/>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instrText xml:space="preserve"> PAGEREF _Toc18085 \h </w:instrText>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separate"/>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t>29</w:t>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end"/>
          </w:r>
          <w:r>
            <w:rPr>
              <w:rStyle w:val="25"/>
              <w:rFonts w:hint="default"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end"/>
          </w:r>
        </w:p>
        <w:p>
          <w:pPr>
            <w:pStyle w:val="16"/>
            <w:pageBreakBefore w:val="0"/>
            <w:tabs>
              <w:tab w:val="right" w:leader="dot" w:pos="8320"/>
            </w:tabs>
            <w:wordWrap/>
            <w:topLinePunct w:val="0"/>
            <w:bidi w:val="0"/>
            <w:adjustRightInd w:val="0"/>
            <w:snapToGrid w:val="0"/>
            <w:spacing w:line="240" w:lineRule="auto"/>
            <w:ind w:right="-14" w:rightChars="0" w:firstLine="0" w:firstLineChars="0"/>
            <w:jc w:val="cente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pPr>
          <w:r>
            <w:rPr>
              <w:rStyle w:val="25"/>
              <w:rFonts w:hint="default"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begin"/>
          </w:r>
          <w:r>
            <w:rPr>
              <w:rStyle w:val="25"/>
              <w:rFonts w:hint="default"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instrText xml:space="preserve"> HYPERLINK \l _Toc29454 </w:instrText>
          </w:r>
          <w:r>
            <w:rPr>
              <w:rStyle w:val="25"/>
              <w:rFonts w:hint="default"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separate"/>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t>7.4高碳行业</w:t>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tab/>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begin"/>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instrText xml:space="preserve"> PAGEREF _Toc29454 \h </w:instrText>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separate"/>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t>29</w:t>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end"/>
          </w:r>
          <w:r>
            <w:rPr>
              <w:rStyle w:val="25"/>
              <w:rFonts w:hint="default"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end"/>
          </w:r>
        </w:p>
        <w:p>
          <w:pPr>
            <w:pStyle w:val="16"/>
            <w:pageBreakBefore w:val="0"/>
            <w:tabs>
              <w:tab w:val="right" w:leader="dot" w:pos="8320"/>
            </w:tabs>
            <w:wordWrap/>
            <w:topLinePunct w:val="0"/>
            <w:bidi w:val="0"/>
            <w:adjustRightInd w:val="0"/>
            <w:snapToGrid w:val="0"/>
            <w:spacing w:line="240" w:lineRule="auto"/>
            <w:ind w:right="-14" w:rightChars="0" w:firstLine="0" w:firstLineChars="0"/>
            <w:jc w:val="cente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pPr>
          <w:r>
            <w:rPr>
              <w:rStyle w:val="25"/>
              <w:rFonts w:hint="default"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begin"/>
          </w:r>
          <w:r>
            <w:rPr>
              <w:rStyle w:val="25"/>
              <w:rFonts w:hint="default"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instrText xml:space="preserve"> HYPERLINK \l _Toc30758 </w:instrText>
          </w:r>
          <w:r>
            <w:rPr>
              <w:rStyle w:val="25"/>
              <w:rFonts w:hint="default"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separate"/>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t>7.5行业门类</w:t>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tab/>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begin"/>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instrText xml:space="preserve"> PAGEREF _Toc30758 \h </w:instrText>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separate"/>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t>30</w:t>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end"/>
          </w:r>
          <w:r>
            <w:rPr>
              <w:rStyle w:val="25"/>
              <w:rFonts w:hint="default"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end"/>
          </w:r>
        </w:p>
        <w:p>
          <w:pPr>
            <w:pStyle w:val="16"/>
            <w:pageBreakBefore w:val="0"/>
            <w:tabs>
              <w:tab w:val="right" w:leader="dot" w:pos="8320"/>
            </w:tabs>
            <w:wordWrap/>
            <w:topLinePunct w:val="0"/>
            <w:bidi w:val="0"/>
            <w:adjustRightInd w:val="0"/>
            <w:snapToGrid w:val="0"/>
            <w:spacing w:line="240" w:lineRule="auto"/>
            <w:ind w:right="-14" w:rightChars="0" w:firstLine="0" w:firstLineChars="0"/>
            <w:jc w:val="cente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pPr>
          <w:r>
            <w:rPr>
              <w:rStyle w:val="25"/>
              <w:rFonts w:hint="default"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begin"/>
          </w:r>
          <w:r>
            <w:rPr>
              <w:rStyle w:val="25"/>
              <w:rFonts w:hint="default"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instrText xml:space="preserve"> HYPERLINK \l _Toc5913 </w:instrText>
          </w:r>
          <w:r>
            <w:rPr>
              <w:rStyle w:val="25"/>
              <w:rFonts w:hint="default"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separate"/>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t>第八章 绿色信贷的节能减排</w:t>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tab/>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begin"/>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instrText xml:space="preserve"> PAGEREF _Toc5913 \h </w:instrText>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separate"/>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t>32</w:t>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end"/>
          </w:r>
          <w:r>
            <w:rPr>
              <w:rStyle w:val="25"/>
              <w:rFonts w:hint="default"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end"/>
          </w:r>
        </w:p>
        <w:p>
          <w:pPr>
            <w:pStyle w:val="16"/>
            <w:pageBreakBefore w:val="0"/>
            <w:tabs>
              <w:tab w:val="right" w:leader="dot" w:pos="8320"/>
            </w:tabs>
            <w:wordWrap/>
            <w:topLinePunct w:val="0"/>
            <w:bidi w:val="0"/>
            <w:adjustRightInd w:val="0"/>
            <w:snapToGrid w:val="0"/>
            <w:spacing w:line="240" w:lineRule="auto"/>
            <w:ind w:right="-14" w:rightChars="0" w:firstLine="0" w:firstLineChars="0"/>
            <w:jc w:val="cente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pPr>
          <w:r>
            <w:rPr>
              <w:rStyle w:val="25"/>
              <w:rFonts w:hint="default"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begin"/>
          </w:r>
          <w:r>
            <w:rPr>
              <w:rStyle w:val="25"/>
              <w:rFonts w:hint="default"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instrText xml:space="preserve"> HYPERLINK \l _Toc2047 </w:instrText>
          </w:r>
          <w:r>
            <w:rPr>
              <w:rStyle w:val="25"/>
              <w:rFonts w:hint="default"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separate"/>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t>8.1绿色信贷（项目业务）</w:t>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tab/>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begin"/>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instrText xml:space="preserve"> PAGEREF _Toc2047 \h </w:instrText>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separate"/>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t>32</w:t>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end"/>
          </w:r>
          <w:r>
            <w:rPr>
              <w:rStyle w:val="25"/>
              <w:rFonts w:hint="default"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end"/>
          </w:r>
        </w:p>
        <w:p>
          <w:pPr>
            <w:pStyle w:val="16"/>
            <w:pageBreakBefore w:val="0"/>
            <w:tabs>
              <w:tab w:val="right" w:leader="dot" w:pos="8320"/>
            </w:tabs>
            <w:wordWrap/>
            <w:topLinePunct w:val="0"/>
            <w:bidi w:val="0"/>
            <w:adjustRightInd w:val="0"/>
            <w:snapToGrid w:val="0"/>
            <w:spacing w:line="240" w:lineRule="auto"/>
            <w:ind w:right="-14" w:rightChars="0" w:firstLine="0" w:firstLineChars="0"/>
            <w:jc w:val="cente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pPr>
          <w:r>
            <w:rPr>
              <w:rStyle w:val="25"/>
              <w:rFonts w:hint="default"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begin"/>
          </w:r>
          <w:r>
            <w:rPr>
              <w:rStyle w:val="25"/>
              <w:rFonts w:hint="default"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instrText xml:space="preserve"> HYPERLINK \l _Toc707 </w:instrText>
          </w:r>
          <w:r>
            <w:rPr>
              <w:rStyle w:val="25"/>
              <w:rFonts w:hint="default"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separate"/>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t>8.2绿色产业</w:t>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tab/>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begin"/>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instrText xml:space="preserve"> PAGEREF _Toc707 \h </w:instrText>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separate"/>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t>32</w:t>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end"/>
          </w:r>
          <w:r>
            <w:rPr>
              <w:rStyle w:val="25"/>
              <w:rFonts w:hint="default"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end"/>
          </w:r>
        </w:p>
        <w:p>
          <w:pPr>
            <w:pStyle w:val="16"/>
            <w:pageBreakBefore w:val="0"/>
            <w:tabs>
              <w:tab w:val="right" w:leader="dot" w:pos="8320"/>
            </w:tabs>
            <w:wordWrap/>
            <w:topLinePunct w:val="0"/>
            <w:bidi w:val="0"/>
            <w:adjustRightInd w:val="0"/>
            <w:snapToGrid w:val="0"/>
            <w:spacing w:line="240" w:lineRule="auto"/>
            <w:ind w:right="-14" w:rightChars="0" w:firstLine="0" w:firstLineChars="0"/>
            <w:jc w:val="cente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pPr>
          <w:r>
            <w:rPr>
              <w:rStyle w:val="25"/>
              <w:rFonts w:hint="default"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begin"/>
          </w:r>
          <w:r>
            <w:rPr>
              <w:rStyle w:val="25"/>
              <w:rFonts w:hint="default"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instrText xml:space="preserve"> HYPERLINK \l _Toc17924 </w:instrText>
          </w:r>
          <w:r>
            <w:rPr>
              <w:rStyle w:val="25"/>
              <w:rFonts w:hint="default"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separate"/>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t>8.3绿色债券</w:t>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tab/>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begin"/>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instrText xml:space="preserve"> PAGEREF _Toc17924 \h </w:instrText>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separate"/>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t>33</w:t>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end"/>
          </w:r>
          <w:r>
            <w:rPr>
              <w:rStyle w:val="25"/>
              <w:rFonts w:hint="default"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end"/>
          </w:r>
        </w:p>
        <w:p>
          <w:pPr>
            <w:pStyle w:val="16"/>
            <w:pageBreakBefore w:val="0"/>
            <w:tabs>
              <w:tab w:val="right" w:leader="dot" w:pos="8320"/>
            </w:tabs>
            <w:wordWrap/>
            <w:topLinePunct w:val="0"/>
            <w:bidi w:val="0"/>
            <w:adjustRightInd w:val="0"/>
            <w:snapToGrid w:val="0"/>
            <w:spacing w:line="240" w:lineRule="auto"/>
            <w:ind w:right="-14" w:rightChars="0" w:firstLine="0" w:firstLineChars="0"/>
            <w:jc w:val="cente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pPr>
          <w:r>
            <w:rPr>
              <w:rStyle w:val="25"/>
              <w:rFonts w:hint="default"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begin"/>
          </w:r>
          <w:r>
            <w:rPr>
              <w:rStyle w:val="25"/>
              <w:rFonts w:hint="default"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instrText xml:space="preserve"> HYPERLINK \l _Toc19912 </w:instrText>
          </w:r>
          <w:r>
            <w:rPr>
              <w:rStyle w:val="25"/>
              <w:rFonts w:hint="default"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separate"/>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t>8.4重大绿色项目环境效益</w:t>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tab/>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begin"/>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instrText xml:space="preserve"> PAGEREF _Toc19912 \h </w:instrText>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separate"/>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t>33</w:t>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end"/>
          </w:r>
          <w:r>
            <w:rPr>
              <w:rStyle w:val="25"/>
              <w:rFonts w:hint="default"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end"/>
          </w:r>
        </w:p>
        <w:p>
          <w:pPr>
            <w:pStyle w:val="16"/>
            <w:pageBreakBefore w:val="0"/>
            <w:tabs>
              <w:tab w:val="right" w:leader="dot" w:pos="8320"/>
            </w:tabs>
            <w:wordWrap/>
            <w:topLinePunct w:val="0"/>
            <w:bidi w:val="0"/>
            <w:adjustRightInd w:val="0"/>
            <w:snapToGrid w:val="0"/>
            <w:spacing w:line="240" w:lineRule="auto"/>
            <w:ind w:right="-14" w:rightChars="0" w:firstLine="0" w:firstLineChars="0"/>
            <w:jc w:val="cente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pPr>
          <w:r>
            <w:rPr>
              <w:rStyle w:val="25"/>
              <w:rFonts w:hint="default"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begin"/>
          </w:r>
          <w:r>
            <w:rPr>
              <w:rStyle w:val="25"/>
              <w:rFonts w:hint="default"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instrText xml:space="preserve"> HYPERLINK \l _Toc15698 </w:instrText>
          </w:r>
          <w:r>
            <w:rPr>
              <w:rStyle w:val="25"/>
              <w:rFonts w:hint="default"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separate"/>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t>第九章 绿色金融创新及研究成果</w:t>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tab/>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begin"/>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instrText xml:space="preserve"> PAGEREF _Toc15698 \h </w:instrText>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separate"/>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t>34</w:t>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end"/>
          </w:r>
          <w:r>
            <w:rPr>
              <w:rStyle w:val="25"/>
              <w:rFonts w:hint="default"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end"/>
          </w:r>
        </w:p>
        <w:p>
          <w:pPr>
            <w:pStyle w:val="16"/>
            <w:pageBreakBefore w:val="0"/>
            <w:tabs>
              <w:tab w:val="right" w:leader="dot" w:pos="8320"/>
            </w:tabs>
            <w:wordWrap/>
            <w:topLinePunct w:val="0"/>
            <w:bidi w:val="0"/>
            <w:adjustRightInd w:val="0"/>
            <w:snapToGrid w:val="0"/>
            <w:spacing w:line="240" w:lineRule="auto"/>
            <w:ind w:right="-14" w:rightChars="0" w:firstLine="0" w:firstLineChars="0"/>
            <w:jc w:val="cente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pPr>
          <w:r>
            <w:rPr>
              <w:rStyle w:val="25"/>
              <w:rFonts w:hint="default"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begin"/>
          </w:r>
          <w:r>
            <w:rPr>
              <w:rStyle w:val="25"/>
              <w:rFonts w:hint="default"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instrText xml:space="preserve"> HYPERLINK \l _Toc10206 </w:instrText>
          </w:r>
          <w:r>
            <w:rPr>
              <w:rStyle w:val="25"/>
              <w:rFonts w:hint="default"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separate"/>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t>9.1创新产品及服务</w:t>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tab/>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begin"/>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instrText xml:space="preserve"> PAGEREF _Toc10206 \h </w:instrText>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separate"/>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t>34</w:t>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end"/>
          </w:r>
          <w:r>
            <w:rPr>
              <w:rStyle w:val="25"/>
              <w:rFonts w:hint="default"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end"/>
          </w:r>
        </w:p>
        <w:p>
          <w:pPr>
            <w:pStyle w:val="16"/>
            <w:pageBreakBefore w:val="0"/>
            <w:tabs>
              <w:tab w:val="right" w:leader="dot" w:pos="8320"/>
            </w:tabs>
            <w:wordWrap/>
            <w:topLinePunct w:val="0"/>
            <w:bidi w:val="0"/>
            <w:adjustRightInd w:val="0"/>
            <w:snapToGrid w:val="0"/>
            <w:spacing w:line="240" w:lineRule="auto"/>
            <w:ind w:right="-14" w:rightChars="0" w:firstLine="0" w:firstLineChars="0"/>
            <w:jc w:val="cente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pPr>
          <w:r>
            <w:rPr>
              <w:rStyle w:val="25"/>
              <w:rFonts w:hint="default"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begin"/>
          </w:r>
          <w:r>
            <w:rPr>
              <w:rStyle w:val="25"/>
              <w:rFonts w:hint="default"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instrText xml:space="preserve"> HYPERLINK \l _Toc5041 </w:instrText>
          </w:r>
          <w:r>
            <w:rPr>
              <w:rStyle w:val="25"/>
              <w:rFonts w:hint="default"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separate"/>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t>9.2创新研究与奖项</w:t>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tab/>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begin"/>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instrText xml:space="preserve"> PAGEREF _Toc5041 \h </w:instrText>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separate"/>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t>34</w:t>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end"/>
          </w:r>
          <w:r>
            <w:rPr>
              <w:rStyle w:val="25"/>
              <w:rFonts w:hint="default"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end"/>
          </w:r>
        </w:p>
        <w:p>
          <w:pPr>
            <w:pStyle w:val="16"/>
            <w:pageBreakBefore w:val="0"/>
            <w:tabs>
              <w:tab w:val="right" w:leader="dot" w:pos="8320"/>
            </w:tabs>
            <w:wordWrap/>
            <w:topLinePunct w:val="0"/>
            <w:bidi w:val="0"/>
            <w:adjustRightInd w:val="0"/>
            <w:snapToGrid w:val="0"/>
            <w:spacing w:line="240" w:lineRule="auto"/>
            <w:ind w:right="-14" w:rightChars="0" w:firstLine="0" w:firstLineChars="0"/>
            <w:jc w:val="cente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pPr>
          <w:r>
            <w:rPr>
              <w:rStyle w:val="25"/>
              <w:rFonts w:hint="default"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begin"/>
          </w:r>
          <w:r>
            <w:rPr>
              <w:rStyle w:val="25"/>
              <w:rFonts w:hint="default"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instrText xml:space="preserve"> HYPERLINK \l _Toc2313 </w:instrText>
          </w:r>
          <w:r>
            <w:rPr>
              <w:rStyle w:val="25"/>
              <w:rFonts w:hint="default"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separate"/>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t>第十章 数据质量管理</w:t>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tab/>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begin"/>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instrText xml:space="preserve"> PAGEREF _Toc2313 \h </w:instrText>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separate"/>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t>37</w:t>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end"/>
          </w:r>
          <w:r>
            <w:rPr>
              <w:rStyle w:val="25"/>
              <w:rFonts w:hint="default"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end"/>
          </w:r>
        </w:p>
        <w:p>
          <w:pPr>
            <w:pStyle w:val="16"/>
            <w:pageBreakBefore w:val="0"/>
            <w:tabs>
              <w:tab w:val="right" w:leader="dot" w:pos="8320"/>
            </w:tabs>
            <w:wordWrap/>
            <w:topLinePunct w:val="0"/>
            <w:bidi w:val="0"/>
            <w:adjustRightInd w:val="0"/>
            <w:snapToGrid w:val="0"/>
            <w:spacing w:line="240" w:lineRule="auto"/>
            <w:ind w:right="-14" w:rightChars="0" w:firstLine="0" w:firstLineChars="0"/>
            <w:jc w:val="cente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pPr>
          <w:r>
            <w:rPr>
              <w:rStyle w:val="25"/>
              <w:rFonts w:hint="default"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begin"/>
          </w:r>
          <w:r>
            <w:rPr>
              <w:rStyle w:val="25"/>
              <w:rFonts w:hint="default"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instrText xml:space="preserve"> HYPERLINK \l _Toc3326 </w:instrText>
          </w:r>
          <w:r>
            <w:rPr>
              <w:rStyle w:val="25"/>
              <w:rFonts w:hint="default"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separate"/>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t>10.1数据梳理及校验</w:t>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tab/>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begin"/>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instrText xml:space="preserve"> PAGEREF _Toc3326 \h </w:instrText>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separate"/>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t>37</w:t>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end"/>
          </w:r>
          <w:r>
            <w:rPr>
              <w:rStyle w:val="25"/>
              <w:rFonts w:hint="default"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end"/>
          </w:r>
        </w:p>
        <w:p>
          <w:pPr>
            <w:pStyle w:val="16"/>
            <w:pageBreakBefore w:val="0"/>
            <w:tabs>
              <w:tab w:val="right" w:leader="dot" w:pos="8320"/>
            </w:tabs>
            <w:wordWrap/>
            <w:topLinePunct w:val="0"/>
            <w:bidi w:val="0"/>
            <w:adjustRightInd w:val="0"/>
            <w:snapToGrid w:val="0"/>
            <w:spacing w:line="240" w:lineRule="auto"/>
            <w:ind w:right="-14" w:rightChars="0" w:firstLine="0" w:firstLineChars="0"/>
            <w:jc w:val="cente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pPr>
          <w:r>
            <w:rPr>
              <w:rStyle w:val="25"/>
              <w:rFonts w:hint="default"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begin"/>
          </w:r>
          <w:r>
            <w:rPr>
              <w:rStyle w:val="25"/>
              <w:rFonts w:hint="default"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instrText xml:space="preserve"> HYPERLINK \l _Toc27095 </w:instrText>
          </w:r>
          <w:r>
            <w:rPr>
              <w:rStyle w:val="25"/>
              <w:rFonts w:hint="default"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separate"/>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t>10.2加强信息化建设，保证数据权益和安全</w:t>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tab/>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begin"/>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instrText xml:space="preserve"> PAGEREF _Toc27095 \h </w:instrText>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separate"/>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t>37</w:t>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end"/>
          </w:r>
          <w:r>
            <w:rPr>
              <w:rStyle w:val="25"/>
              <w:rFonts w:hint="default"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end"/>
          </w:r>
        </w:p>
        <w:p>
          <w:pPr>
            <w:pStyle w:val="16"/>
            <w:pageBreakBefore w:val="0"/>
            <w:tabs>
              <w:tab w:val="right" w:leader="dot" w:pos="8320"/>
            </w:tabs>
            <w:wordWrap/>
            <w:topLinePunct w:val="0"/>
            <w:bidi w:val="0"/>
            <w:adjustRightInd w:val="0"/>
            <w:snapToGrid w:val="0"/>
            <w:spacing w:line="240" w:lineRule="auto"/>
            <w:ind w:right="-14" w:rightChars="0" w:firstLine="0" w:firstLineChars="0"/>
            <w:jc w:val="cente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pPr>
          <w:r>
            <w:rPr>
              <w:rStyle w:val="25"/>
              <w:rFonts w:hint="default"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begin"/>
          </w:r>
          <w:r>
            <w:rPr>
              <w:rStyle w:val="25"/>
              <w:rFonts w:hint="default"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instrText xml:space="preserve"> HYPERLINK \l _Toc6933 </w:instrText>
          </w:r>
          <w:r>
            <w:rPr>
              <w:rStyle w:val="25"/>
              <w:rFonts w:hint="default"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separate"/>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t>10.3数据安全应急预案</w:t>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tab/>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begin"/>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instrText xml:space="preserve"> PAGEREF _Toc6933 \h </w:instrText>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separate"/>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t>39</w:t>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end"/>
          </w:r>
          <w:r>
            <w:rPr>
              <w:rStyle w:val="25"/>
              <w:rFonts w:hint="default"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end"/>
          </w:r>
        </w:p>
        <w:p>
          <w:pPr>
            <w:pStyle w:val="16"/>
            <w:pageBreakBefore w:val="0"/>
            <w:tabs>
              <w:tab w:val="right" w:leader="dot" w:pos="8320"/>
            </w:tabs>
            <w:wordWrap/>
            <w:topLinePunct w:val="0"/>
            <w:bidi w:val="0"/>
            <w:adjustRightInd w:val="0"/>
            <w:snapToGrid w:val="0"/>
            <w:spacing w:line="240" w:lineRule="auto"/>
            <w:ind w:right="-14" w:rightChars="0" w:firstLine="0" w:firstLineChars="0"/>
            <w:jc w:val="cente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pPr>
          <w:r>
            <w:rPr>
              <w:rStyle w:val="25"/>
              <w:rFonts w:hint="default"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begin"/>
          </w:r>
          <w:r>
            <w:rPr>
              <w:rStyle w:val="25"/>
              <w:rFonts w:hint="default"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instrText xml:space="preserve"> HYPERLINK \l _Toc27184 </w:instrText>
          </w:r>
          <w:r>
            <w:rPr>
              <w:rStyle w:val="25"/>
              <w:rFonts w:hint="default"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separate"/>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t>第十一章 未来展望</w:t>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tab/>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begin"/>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instrText xml:space="preserve"> PAGEREF _Toc27184 \h </w:instrText>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separate"/>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t>40</w:t>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end"/>
          </w:r>
          <w:r>
            <w:rPr>
              <w:rStyle w:val="25"/>
              <w:rFonts w:hint="default"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end"/>
          </w:r>
        </w:p>
        <w:p>
          <w:pPr>
            <w:pStyle w:val="16"/>
            <w:pageBreakBefore w:val="0"/>
            <w:tabs>
              <w:tab w:val="right" w:leader="dot" w:pos="8320"/>
            </w:tabs>
            <w:wordWrap/>
            <w:topLinePunct w:val="0"/>
            <w:bidi w:val="0"/>
            <w:adjustRightInd w:val="0"/>
            <w:snapToGrid w:val="0"/>
            <w:spacing w:line="240" w:lineRule="auto"/>
            <w:ind w:right="-14" w:rightChars="0" w:firstLine="0" w:firstLineChars="0"/>
            <w:jc w:val="cente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pPr>
          <w:r>
            <w:rPr>
              <w:rStyle w:val="25"/>
              <w:rFonts w:hint="default"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begin"/>
          </w:r>
          <w:r>
            <w:rPr>
              <w:rStyle w:val="25"/>
              <w:rFonts w:hint="default"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instrText xml:space="preserve"> HYPERLINK \l _Toc26061 </w:instrText>
          </w:r>
          <w:r>
            <w:rPr>
              <w:rStyle w:val="25"/>
              <w:rFonts w:hint="default"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separate"/>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t>11.1绿色金融未来展望</w:t>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tab/>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begin"/>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instrText xml:space="preserve"> PAGEREF _Toc26061 \h </w:instrText>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separate"/>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t>40</w:t>
          </w:r>
          <w:r>
            <w:rPr>
              <w:rStyle w:val="25"/>
              <w:rFonts w:hint="eastAsia"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end"/>
          </w:r>
          <w:r>
            <w:rPr>
              <w:rStyle w:val="25"/>
              <w:rFonts w:hint="default"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end"/>
          </w:r>
        </w:p>
        <w:p>
          <w:pPr>
            <w:pStyle w:val="16"/>
            <w:pageBreakBefore w:val="0"/>
            <w:tabs>
              <w:tab w:val="right" w:leader="dot" w:pos="8320"/>
            </w:tabs>
            <w:wordWrap/>
            <w:topLinePunct w:val="0"/>
            <w:bidi w:val="0"/>
            <w:adjustRightInd w:val="0"/>
            <w:snapToGrid w:val="0"/>
            <w:spacing w:line="240" w:lineRule="auto"/>
            <w:ind w:right="-14" w:rightChars="0" w:firstLine="0" w:firstLineChars="0"/>
            <w:jc w:val="center"/>
            <w:rPr>
              <w:rFonts w:hint="default" w:ascii="黑体" w:hAnsi="黑体" w:eastAsia="黑体" w:cs="黑体"/>
              <w:bCs/>
              <w:color w:val="000000" w:themeColor="text1"/>
              <w:kern w:val="2"/>
              <w:sz w:val="24"/>
              <w:szCs w:val="32"/>
              <w:lang w:val="en-US" w:eastAsia="zh-CN" w:bidi="ar-SA"/>
              <w14:textFill>
                <w14:solidFill>
                  <w14:schemeClr w14:val="tx1"/>
                </w14:solidFill>
              </w14:textFill>
            </w:rPr>
          </w:pPr>
          <w:r>
            <w:rPr>
              <w:rStyle w:val="25"/>
              <w:rFonts w:hint="default" w:ascii="微软雅黑" w:hAnsi="微软雅黑" w:eastAsia="微软雅黑" w:cs="微软雅黑"/>
              <w:b w:val="0"/>
              <w:bCs/>
              <w:snapToGrid w:val="0"/>
              <w:color w:val="000000" w:themeColor="text1"/>
              <w:spacing w:val="8"/>
              <w:sz w:val="24"/>
              <w:szCs w:val="24"/>
              <w:lang w:val="en-US" w:eastAsia="zh-CN"/>
              <w14:textFill>
                <w14:solidFill>
                  <w14:schemeClr w14:val="tx1"/>
                </w14:solidFill>
              </w14:textFill>
            </w:rPr>
            <w:fldChar w:fldCharType="end"/>
          </w:r>
        </w:p>
      </w:sdtContent>
    </w:sdt>
    <w:p>
      <w:pPr>
        <w:pStyle w:val="34"/>
        <w:keepNext w:val="0"/>
        <w:keepLines w:val="0"/>
        <w:pageBreakBefore w:val="0"/>
        <w:kinsoku/>
        <w:wordWrap/>
        <w:overflowPunct/>
        <w:topLinePunct w:val="0"/>
        <w:bidi w:val="0"/>
        <w:adjustRightInd w:val="0"/>
        <w:snapToGrid w:val="0"/>
        <w:spacing w:line="240" w:lineRule="auto"/>
        <w:ind w:left="0" w:leftChars="0" w:firstLine="0" w:firstLineChars="0"/>
        <w:jc w:val="center"/>
        <w:rPr>
          <w:rFonts w:hint="default" w:ascii="黑体" w:hAnsi="黑体" w:eastAsia="黑体" w:cs="黑体"/>
          <w:b w:val="0"/>
          <w:bCs/>
          <w:color w:val="000000" w:themeColor="text1"/>
          <w:sz w:val="32"/>
          <w:szCs w:val="32"/>
          <w:lang w:val="en-US" w:eastAsia="zh-CN"/>
          <w14:textFill>
            <w14:solidFill>
              <w14:schemeClr w14:val="tx1"/>
            </w14:solidFill>
          </w14:textFill>
        </w:rPr>
        <w:sectPr>
          <w:pgSz w:w="11906" w:h="16838"/>
          <w:pgMar w:top="998" w:right="998" w:bottom="1451" w:left="998" w:header="0" w:footer="992" w:gutter="0"/>
          <w:pgBorders>
            <w:top w:val="none" w:sz="0" w:space="0"/>
            <w:left w:val="none" w:sz="0" w:space="0"/>
            <w:bottom w:val="none" w:sz="0" w:space="0"/>
            <w:right w:val="none" w:sz="0" w:space="0"/>
          </w:pgBorders>
          <w:pgNumType w:fmt="decimal"/>
          <w:cols w:space="425" w:num="1"/>
          <w:docGrid w:type="lines" w:linePitch="312" w:charSpace="0"/>
        </w:sectPr>
      </w:pPr>
    </w:p>
    <w:p>
      <w:pPr>
        <w:pStyle w:val="18"/>
        <w:keepNext w:val="0"/>
        <w:keepLines w:val="0"/>
        <w:pageBreakBefore w:val="0"/>
        <w:numPr>
          <w:ilvl w:val="0"/>
          <w:numId w:val="6"/>
        </w:numPr>
        <w:tabs>
          <w:tab w:val="right" w:leader="dot" w:pos="9897"/>
        </w:tabs>
        <w:kinsoku/>
        <w:wordWrap/>
        <w:overflowPunct/>
        <w:topLinePunct w:val="0"/>
        <w:bidi w:val="0"/>
        <w:adjustRightInd w:val="0"/>
        <w:snapToGrid w:val="0"/>
        <w:spacing w:line="240" w:lineRule="auto"/>
        <w:ind w:left="0" w:leftChars="0" w:firstLine="0" w:firstLineChars="0"/>
        <w:jc w:val="center"/>
        <w:outlineLvl w:val="0"/>
        <w:rPr>
          <w:rFonts w:hint="eastAsia" w:ascii="微软雅黑" w:hAnsi="微软雅黑" w:eastAsia="微软雅黑" w:cs="微软雅黑"/>
          <w:b w:val="0"/>
          <w:bCs/>
          <w:color w:val="00B050"/>
          <w:kern w:val="2"/>
          <w:sz w:val="32"/>
          <w:szCs w:val="32"/>
          <w:lang w:val="en-US" w:eastAsia="zh-CN" w:bidi="ar-SA"/>
        </w:rPr>
      </w:pPr>
      <w:bookmarkStart w:id="1" w:name="_Toc924"/>
      <w:r>
        <w:rPr>
          <w:rFonts w:hint="eastAsia" w:ascii="微软雅黑" w:hAnsi="微软雅黑" w:eastAsia="微软雅黑" w:cs="微软雅黑"/>
          <w:b w:val="0"/>
          <w:bCs/>
          <w:color w:val="00B050"/>
          <w:kern w:val="2"/>
          <w:sz w:val="32"/>
          <w:szCs w:val="32"/>
          <w:lang w:val="en-US" w:eastAsia="zh-CN" w:bidi="ar-SA"/>
        </w:rPr>
        <w:t>关于我们</w:t>
      </w:r>
      <w:bookmarkEnd w:id="1"/>
    </w:p>
    <w:p>
      <w:pPr>
        <w:keepNext w:val="0"/>
        <w:keepLines w:val="0"/>
        <w:pageBreakBefore w:val="0"/>
        <w:widowControl/>
        <w:numPr>
          <w:ilvl w:val="0"/>
          <w:numId w:val="0"/>
        </w:numPr>
        <w:kinsoku/>
        <w:wordWrap/>
        <w:overflowPunct/>
        <w:topLinePunct w:val="0"/>
        <w:autoSpaceDE w:val="0"/>
        <w:autoSpaceDN w:val="0"/>
        <w:bidi w:val="0"/>
        <w:adjustRightInd w:val="0"/>
        <w:snapToGrid w:val="0"/>
        <w:spacing w:before="149" w:beforeLines="50" w:line="240" w:lineRule="auto"/>
        <w:ind w:left="0" w:leftChars="0" w:firstLine="0" w:firstLineChars="0"/>
        <w:textAlignment w:val="baseline"/>
        <w:outlineLvl w:val="0"/>
        <w:rPr>
          <w:rFonts w:hint="eastAsia" w:ascii="微软雅黑" w:hAnsi="微软雅黑" w:eastAsia="微软雅黑" w:cs="微软雅黑"/>
          <w:b w:val="0"/>
          <w:bCs/>
          <w:color w:val="000000" w:themeColor="text1"/>
          <w:kern w:val="2"/>
          <w:sz w:val="28"/>
          <w:szCs w:val="28"/>
          <w:lang w:val="en-US" w:eastAsia="zh-CN" w:bidi="ar-SA"/>
          <w14:textFill>
            <w14:solidFill>
              <w14:schemeClr w14:val="tx1"/>
            </w14:solidFill>
          </w14:textFill>
        </w:rPr>
      </w:pPr>
      <w:bookmarkStart w:id="2" w:name="_Toc17533"/>
      <w:r>
        <w:rPr>
          <w:rFonts w:hint="eastAsia" w:ascii="微软雅黑" w:hAnsi="微软雅黑" w:eastAsia="微软雅黑" w:cs="微软雅黑"/>
          <w:b w:val="0"/>
          <w:bCs/>
          <w:color w:val="000000" w:themeColor="text1"/>
          <w:kern w:val="2"/>
          <w:sz w:val="28"/>
          <w:szCs w:val="28"/>
          <w:lang w:val="en-US" w:eastAsia="zh-CN" w:bidi="ar-SA"/>
          <w14:textFill>
            <w14:solidFill>
              <w14:schemeClr w14:val="tx1"/>
            </w14:solidFill>
          </w14:textFill>
        </w:rPr>
        <w:t>1.1 编制说明</w:t>
      </w:r>
      <w:bookmarkEnd w:id="2"/>
    </w:p>
    <w:p>
      <w:pPr>
        <w:keepNext w:val="0"/>
        <w:keepLines w:val="0"/>
        <w:pageBreakBefore w:val="0"/>
        <w:widowControl/>
        <w:kinsoku/>
        <w:wordWrap/>
        <w:overflowPunct/>
        <w:topLinePunct w:val="0"/>
        <w:autoSpaceDE w:val="0"/>
        <w:autoSpaceDN w:val="0"/>
        <w:bidi w:val="0"/>
        <w:adjustRightInd w:val="0"/>
        <w:snapToGrid w:val="0"/>
        <w:spacing w:before="149" w:beforeLines="50" w:line="240" w:lineRule="auto"/>
        <w:ind w:firstLine="480" w:firstLineChars="200"/>
        <w:textAlignment w:val="baseline"/>
        <w:outlineLvl w:val="2"/>
        <w:rPr>
          <w:rFonts w:hint="eastAsia" w:ascii="仿宋" w:hAnsi="仿宋" w:eastAsia="仿宋" w:cs="仿宋"/>
          <w:b w:val="0"/>
          <w:bCs/>
          <w:snapToGrid w:val="0"/>
          <w:color w:val="000000" w:themeColor="text1"/>
          <w:spacing w:val="6"/>
          <w:kern w:val="0"/>
          <w:sz w:val="24"/>
          <w:szCs w:val="24"/>
          <w:lang w:val="en-US" w:eastAsia="zh-CN"/>
          <w14:textFill>
            <w14:solidFill>
              <w14:schemeClr w14:val="tx1"/>
            </w14:solidFill>
          </w14:textFill>
        </w:rPr>
      </w:pPr>
      <w:r>
        <w:rPr>
          <w:rFonts w:hint="eastAsia" w:ascii="微软雅黑" w:hAnsi="微软雅黑" w:eastAsia="微软雅黑" w:cs="微软雅黑"/>
          <w:b w:val="0"/>
          <w:bCs/>
          <w:color w:val="000000" w:themeColor="text1"/>
          <w:kern w:val="2"/>
          <w:sz w:val="24"/>
          <w:szCs w:val="24"/>
          <w:lang w:val="en-US" w:eastAsia="zh-CN" w:bidi="ar-SA"/>
          <w14:textFill>
            <w14:solidFill>
              <w14:schemeClr w14:val="tx1"/>
            </w14:solidFill>
          </w14:textFill>
        </w:rPr>
        <w:t>1.1.1报告说明</w:t>
      </w:r>
      <w:r>
        <w:rPr>
          <w:rFonts w:hint="eastAsia"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w:t>
      </w:r>
    </w:p>
    <w:p>
      <w:pPr>
        <w:keepNext w:val="0"/>
        <w:keepLines w:val="0"/>
        <w:pageBreakBefore w:val="0"/>
        <w:widowControl/>
        <w:kinsoku/>
        <w:wordWrap/>
        <w:overflowPunct/>
        <w:topLinePunct w:val="0"/>
        <w:autoSpaceDE w:val="0"/>
        <w:autoSpaceDN w:val="0"/>
        <w:bidi w:val="0"/>
        <w:adjustRightInd w:val="0"/>
        <w:snapToGrid w:val="0"/>
        <w:spacing w:before="149" w:beforeLines="50" w:line="240" w:lineRule="auto"/>
        <w:ind w:firstLine="504" w:firstLineChars="200"/>
        <w:textAlignment w:val="baseline"/>
        <w:rPr>
          <w:rFonts w:hint="eastAsia" w:ascii="仿宋" w:hAnsi="仿宋" w:eastAsia="仿宋" w:cs="仿宋"/>
          <w:b w:val="0"/>
          <w:bCs/>
          <w:snapToGrid w:val="0"/>
          <w:color w:val="000000" w:themeColor="text1"/>
          <w:spacing w:val="6"/>
          <w:kern w:val="0"/>
          <w:sz w:val="24"/>
          <w:szCs w:val="24"/>
          <w:lang w:val="en-US" w:eastAsia="zh-CN"/>
          <w14:textFill>
            <w14:solidFill>
              <w14:schemeClr w14:val="tx1"/>
            </w14:solidFill>
          </w14:textFill>
        </w:rPr>
      </w:pPr>
      <w:r>
        <w:rPr>
          <w:rFonts w:hint="eastAsia"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本报告是江苏扬州农村商业银行股份有限公司（本报告中以下简称“本行”）单独发布的环境信息披露报告。本报告阐述了本行2025年度在环境信息披露方面的主要工作和成效，回应各利益相关方的期望与关注，全面展示本行在环境信息披露方面的积极态度与行动。</w:t>
      </w:r>
    </w:p>
    <w:p>
      <w:pPr>
        <w:keepNext w:val="0"/>
        <w:keepLines w:val="0"/>
        <w:pageBreakBefore w:val="0"/>
        <w:widowControl/>
        <w:kinsoku/>
        <w:wordWrap/>
        <w:overflowPunct/>
        <w:topLinePunct w:val="0"/>
        <w:autoSpaceDE w:val="0"/>
        <w:autoSpaceDN w:val="0"/>
        <w:bidi w:val="0"/>
        <w:adjustRightInd w:val="0"/>
        <w:snapToGrid w:val="0"/>
        <w:spacing w:before="149" w:beforeLines="50" w:line="240" w:lineRule="auto"/>
        <w:ind w:firstLine="480" w:firstLineChars="200"/>
        <w:textAlignment w:val="baseline"/>
        <w:outlineLvl w:val="2"/>
        <w:rPr>
          <w:rFonts w:hint="eastAsia" w:ascii="微软雅黑" w:hAnsi="微软雅黑" w:eastAsia="微软雅黑" w:cs="微软雅黑"/>
          <w:b w:val="0"/>
          <w:bCs/>
          <w:color w:val="000000" w:themeColor="text1"/>
          <w:kern w:val="2"/>
          <w:sz w:val="24"/>
          <w:szCs w:val="24"/>
          <w:lang w:val="en-US" w:eastAsia="zh-CN" w:bidi="ar-SA"/>
          <w14:textFill>
            <w14:solidFill>
              <w14:schemeClr w14:val="tx1"/>
            </w14:solidFill>
          </w14:textFill>
        </w:rPr>
      </w:pPr>
      <w:r>
        <w:rPr>
          <w:rFonts w:hint="eastAsia" w:ascii="微软雅黑" w:hAnsi="微软雅黑" w:eastAsia="微软雅黑" w:cs="微软雅黑"/>
          <w:b w:val="0"/>
          <w:bCs/>
          <w:color w:val="000000" w:themeColor="text1"/>
          <w:kern w:val="2"/>
          <w:sz w:val="24"/>
          <w:szCs w:val="24"/>
          <w:lang w:val="en-US" w:eastAsia="zh-CN" w:bidi="ar-SA"/>
          <w14:textFill>
            <w14:solidFill>
              <w14:schemeClr w14:val="tx1"/>
            </w14:solidFill>
          </w14:textFill>
        </w:rPr>
        <w:t>1.1.2报告范围:</w:t>
      </w:r>
    </w:p>
    <w:p>
      <w:pPr>
        <w:keepNext w:val="0"/>
        <w:keepLines w:val="0"/>
        <w:pageBreakBefore w:val="0"/>
        <w:widowControl/>
        <w:kinsoku/>
        <w:wordWrap/>
        <w:overflowPunct/>
        <w:topLinePunct w:val="0"/>
        <w:autoSpaceDE w:val="0"/>
        <w:autoSpaceDN w:val="0"/>
        <w:bidi w:val="0"/>
        <w:adjustRightInd w:val="0"/>
        <w:snapToGrid w:val="0"/>
        <w:spacing w:before="149" w:beforeLines="50" w:line="240" w:lineRule="auto"/>
        <w:ind w:firstLine="504" w:firstLineChars="200"/>
        <w:textAlignment w:val="baseline"/>
        <w:rPr>
          <w:rFonts w:hint="eastAsia" w:ascii="仿宋" w:hAnsi="仿宋" w:eastAsia="仿宋" w:cs="仿宋"/>
          <w:b w:val="0"/>
          <w:bCs/>
          <w:snapToGrid w:val="0"/>
          <w:color w:val="000000" w:themeColor="text1"/>
          <w:spacing w:val="6"/>
          <w:kern w:val="0"/>
          <w:sz w:val="24"/>
          <w:szCs w:val="24"/>
          <w:lang w:val="en-US" w:eastAsia="zh-CN"/>
          <w14:textFill>
            <w14:solidFill>
              <w14:schemeClr w14:val="tx1"/>
            </w14:solidFill>
          </w14:textFill>
        </w:rPr>
      </w:pPr>
      <w:r>
        <w:rPr>
          <w:rFonts w:hint="eastAsia"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本报告为年度报告。时间范围涵盖2025年01月01日至2025年12月31日，部分信息涉及以往年度。除另有注明外，本报告以江苏扬州农村商业银行股份有限公司为主体</w:t>
      </w:r>
      <w:r>
        <w:rPr>
          <w:rFonts w:hint="eastAsia" w:ascii="仿宋" w:hAnsi="仿宋" w:eastAsia="仿宋" w:cs="仿宋"/>
          <w:b w:val="0"/>
          <w:bCs/>
          <w:color w:val="000000" w:themeColor="text1"/>
          <w:spacing w:val="6"/>
          <w:sz w:val="24"/>
          <w14:textFill>
            <w14:solidFill>
              <w14:schemeClr w14:val="tx1"/>
            </w14:solidFill>
          </w14:textFill>
        </w:rPr>
        <w:t>，包含下辖分支机构数据</w:t>
      </w:r>
      <w:r>
        <w:rPr>
          <w:rFonts w:hint="eastAsia"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w:t>
      </w:r>
    </w:p>
    <w:p>
      <w:pPr>
        <w:keepNext w:val="0"/>
        <w:keepLines w:val="0"/>
        <w:pageBreakBefore w:val="0"/>
        <w:widowControl/>
        <w:kinsoku/>
        <w:wordWrap/>
        <w:overflowPunct/>
        <w:topLinePunct w:val="0"/>
        <w:autoSpaceDE w:val="0"/>
        <w:autoSpaceDN w:val="0"/>
        <w:bidi w:val="0"/>
        <w:adjustRightInd w:val="0"/>
        <w:snapToGrid w:val="0"/>
        <w:spacing w:before="149" w:beforeLines="50" w:line="240" w:lineRule="auto"/>
        <w:ind w:firstLine="480" w:firstLineChars="200"/>
        <w:textAlignment w:val="baseline"/>
        <w:outlineLvl w:val="2"/>
        <w:rPr>
          <w:rFonts w:hint="eastAsia" w:ascii="微软雅黑" w:hAnsi="微软雅黑" w:eastAsia="微软雅黑" w:cs="微软雅黑"/>
          <w:b w:val="0"/>
          <w:bCs/>
          <w:color w:val="000000" w:themeColor="text1"/>
          <w:kern w:val="2"/>
          <w:sz w:val="24"/>
          <w:szCs w:val="24"/>
          <w:lang w:val="en-US" w:eastAsia="zh-CN" w:bidi="ar-SA"/>
          <w14:textFill>
            <w14:solidFill>
              <w14:schemeClr w14:val="tx1"/>
            </w14:solidFill>
          </w14:textFill>
        </w:rPr>
      </w:pPr>
      <w:r>
        <w:rPr>
          <w:rFonts w:hint="eastAsia" w:ascii="微软雅黑" w:hAnsi="微软雅黑" w:eastAsia="微软雅黑" w:cs="微软雅黑"/>
          <w:b w:val="0"/>
          <w:bCs/>
          <w:color w:val="000000" w:themeColor="text1"/>
          <w:kern w:val="2"/>
          <w:sz w:val="24"/>
          <w:szCs w:val="24"/>
          <w:lang w:val="en-US" w:eastAsia="zh-CN" w:bidi="ar-SA"/>
          <w14:textFill>
            <w14:solidFill>
              <w14:schemeClr w14:val="tx1"/>
            </w14:solidFill>
          </w14:textFill>
        </w:rPr>
        <w:t>1.1.3编制依据:</w:t>
      </w:r>
    </w:p>
    <w:p>
      <w:pPr>
        <w:keepNext w:val="0"/>
        <w:keepLines w:val="0"/>
        <w:pageBreakBefore w:val="0"/>
        <w:widowControl/>
        <w:kinsoku/>
        <w:wordWrap/>
        <w:overflowPunct/>
        <w:topLinePunct w:val="0"/>
        <w:autoSpaceDE w:val="0"/>
        <w:autoSpaceDN w:val="0"/>
        <w:bidi w:val="0"/>
        <w:adjustRightInd w:val="0"/>
        <w:snapToGrid w:val="0"/>
        <w:spacing w:before="149" w:beforeLines="50" w:line="240" w:lineRule="auto"/>
        <w:ind w:firstLine="504" w:firstLineChars="200"/>
        <w:textAlignment w:val="baseline"/>
        <w:outlineLvl w:val="9"/>
        <w:rPr>
          <w:rFonts w:hint="eastAsia" w:ascii="仿宋" w:hAnsi="仿宋" w:eastAsia="仿宋" w:cs="仿宋"/>
          <w:b w:val="0"/>
          <w:bCs/>
          <w:snapToGrid w:val="0"/>
          <w:color w:val="000000" w:themeColor="text1"/>
          <w:spacing w:val="6"/>
          <w:kern w:val="0"/>
          <w:sz w:val="24"/>
          <w:szCs w:val="24"/>
          <w:lang w:val="en-US" w:eastAsia="zh-CN"/>
          <w14:textFill>
            <w14:solidFill>
              <w14:schemeClr w14:val="tx1"/>
            </w14:solidFill>
          </w14:textFill>
        </w:rPr>
      </w:pPr>
      <w:r>
        <w:rPr>
          <w:rFonts w:hint="eastAsia"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本报告依据《金融机构可持续信息披露指南(试用稿)》、《银行业金融机构高碳行业贷款业务碳核算操作指引(试行)》、</w:t>
      </w:r>
      <w:r>
        <w:rPr>
          <w:rFonts w:hint="eastAsia" w:ascii="仿宋" w:hAnsi="仿宋" w:eastAsia="仿宋" w:cs="仿宋"/>
          <w:b w:val="0"/>
          <w:bCs/>
          <w:snapToGrid w:val="0"/>
          <w:color w:val="000000" w:themeColor="text1"/>
          <w:spacing w:val="6"/>
          <w:kern w:val="0"/>
          <w:sz w:val="24"/>
          <w:szCs w:val="24"/>
          <w:highlight w:val="none"/>
          <w:lang w:val="en-US" w:eastAsia="zh-CN"/>
          <w14:textFill>
            <w14:solidFill>
              <w14:schemeClr w14:val="tx1"/>
            </w14:solidFill>
          </w14:textFill>
        </w:rPr>
        <w:t>《金融机构碳核算技术指南（试行）》、</w:t>
      </w:r>
      <w:r>
        <w:rPr>
          <w:rFonts w:hint="eastAsia"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中国人民银行江苏省分行办公室关于做好2025年度江苏省银行业金融机构环境信息披露并探索开展气候风险压力测试的通知》的披露要求进行编制。并参考了ISSB《国际财务报告可持续披露准则第1号——可持续相关财务信息披露一般要求》（IFRSS1）及《国际财务报告可持续披露准则第2号——气候相关披露》（IFRSS2）。TCFD的四项核心建议已完全纳入IFRSS2，本报告在遵循ISSB准则的基础上同步满足TCFD披露要求。</w:t>
      </w:r>
    </w:p>
    <w:p>
      <w:pPr>
        <w:pStyle w:val="2"/>
        <w:keepNext w:val="0"/>
        <w:keepLines w:val="0"/>
        <w:pageBreakBefore w:val="0"/>
        <w:widowControl w:val="0"/>
        <w:kinsoku/>
        <w:wordWrap/>
        <w:overflowPunct/>
        <w:topLinePunct w:val="0"/>
        <w:autoSpaceDE/>
        <w:autoSpaceDN/>
        <w:bidi w:val="0"/>
        <w:adjustRightInd/>
        <w:snapToGrid/>
        <w:spacing w:after="0" w:line="240" w:lineRule="auto"/>
        <w:textAlignment w:val="auto"/>
        <w:rPr>
          <w:rFonts w:hint="eastAsia" w:ascii="仿宋" w:hAnsi="仿宋" w:eastAsia="仿宋" w:cs="仿宋"/>
          <w:b w:val="0"/>
          <w:bCs/>
          <w:snapToGrid w:val="0"/>
          <w:color w:val="auto"/>
          <w:spacing w:val="6"/>
          <w:kern w:val="0"/>
          <w:sz w:val="18"/>
          <w:szCs w:val="18"/>
          <w:lang w:val="en-US" w:eastAsia="zh-CN" w:bidi="ar-SA"/>
        </w:rPr>
      </w:pPr>
      <w:bookmarkStart w:id="3" w:name="_Toc3706"/>
    </w:p>
    <w:p>
      <w:pPr>
        <w:keepNext w:val="0"/>
        <w:keepLines w:val="0"/>
        <w:pageBreakBefore w:val="0"/>
        <w:widowControl/>
        <w:numPr>
          <w:ilvl w:val="0"/>
          <w:numId w:val="0"/>
        </w:numPr>
        <w:kinsoku/>
        <w:wordWrap/>
        <w:overflowPunct/>
        <w:topLinePunct w:val="0"/>
        <w:autoSpaceDE w:val="0"/>
        <w:autoSpaceDN w:val="0"/>
        <w:bidi w:val="0"/>
        <w:adjustRightInd w:val="0"/>
        <w:snapToGrid w:val="0"/>
        <w:spacing w:before="149" w:beforeLines="50" w:line="240" w:lineRule="auto"/>
        <w:ind w:left="0" w:leftChars="0" w:firstLine="0" w:firstLineChars="0"/>
        <w:textAlignment w:val="baseline"/>
        <w:outlineLvl w:val="0"/>
        <w:rPr>
          <w:rFonts w:hint="eastAsia" w:ascii="微软雅黑" w:hAnsi="微软雅黑" w:eastAsia="微软雅黑" w:cs="微软雅黑"/>
          <w:b w:val="0"/>
          <w:bCs/>
          <w:color w:val="000000" w:themeColor="text1"/>
          <w:kern w:val="2"/>
          <w:sz w:val="28"/>
          <w:szCs w:val="28"/>
          <w:lang w:val="en-US" w:eastAsia="zh-CN" w:bidi="ar-SA"/>
          <w14:textFill>
            <w14:solidFill>
              <w14:schemeClr w14:val="tx1"/>
            </w14:solidFill>
          </w14:textFill>
        </w:rPr>
      </w:pPr>
      <w:r>
        <w:rPr>
          <w:rFonts w:hint="eastAsia" w:ascii="微软雅黑" w:hAnsi="微软雅黑" w:eastAsia="微软雅黑" w:cs="微软雅黑"/>
          <w:b w:val="0"/>
          <w:bCs/>
          <w:color w:val="000000" w:themeColor="text1"/>
          <w:kern w:val="2"/>
          <w:sz w:val="28"/>
          <w:szCs w:val="28"/>
          <w:lang w:val="en-US" w:eastAsia="zh-CN" w:bidi="ar-SA"/>
          <w14:textFill>
            <w14:solidFill>
              <w14:schemeClr w14:val="tx1"/>
            </w14:solidFill>
          </w14:textFill>
        </w:rPr>
        <w:t>1.2 关于我们</w:t>
      </w:r>
      <w:bookmarkEnd w:id="3"/>
    </w:p>
    <w:p>
      <w:pPr>
        <w:keepNext w:val="0"/>
        <w:keepLines w:val="0"/>
        <w:pageBreakBefore w:val="0"/>
        <w:widowControl/>
        <w:kinsoku/>
        <w:wordWrap/>
        <w:overflowPunct/>
        <w:topLinePunct w:val="0"/>
        <w:autoSpaceDE w:val="0"/>
        <w:autoSpaceDN w:val="0"/>
        <w:bidi w:val="0"/>
        <w:adjustRightInd w:val="0"/>
        <w:snapToGrid w:val="0"/>
        <w:spacing w:before="149" w:beforeLines="50" w:line="240" w:lineRule="auto"/>
        <w:ind w:firstLine="480" w:firstLineChars="200"/>
        <w:textAlignment w:val="baseline"/>
        <w:outlineLvl w:val="2"/>
        <w:rPr>
          <w:rFonts w:hint="eastAsia" w:ascii="微软雅黑" w:hAnsi="微软雅黑" w:eastAsia="微软雅黑" w:cs="微软雅黑"/>
          <w:b w:val="0"/>
          <w:bCs/>
          <w:color w:val="000000" w:themeColor="text1"/>
          <w:kern w:val="2"/>
          <w:sz w:val="24"/>
          <w:szCs w:val="24"/>
          <w:lang w:val="en-US" w:eastAsia="zh-CN" w:bidi="ar-SA"/>
          <w14:textFill>
            <w14:solidFill>
              <w14:schemeClr w14:val="tx1"/>
            </w14:solidFill>
          </w14:textFill>
        </w:rPr>
      </w:pPr>
      <w:r>
        <w:rPr>
          <w:rFonts w:hint="eastAsia" w:ascii="微软雅黑" w:hAnsi="微软雅黑" w:eastAsia="微软雅黑" w:cs="微软雅黑"/>
          <w:b w:val="0"/>
          <w:bCs/>
          <w:color w:val="000000" w:themeColor="text1"/>
          <w:kern w:val="2"/>
          <w:sz w:val="24"/>
          <w:szCs w:val="24"/>
          <w:lang w:val="en-US" w:eastAsia="zh-CN" w:bidi="ar-SA"/>
          <w14:textFill>
            <w14:solidFill>
              <w14:schemeClr w14:val="tx1"/>
            </w14:solidFill>
          </w14:textFill>
        </w:rPr>
        <w:t>1.2.1基本信息:</w:t>
      </w:r>
    </w:p>
    <w:p>
      <w:pPr>
        <w:keepNext w:val="0"/>
        <w:keepLines w:val="0"/>
        <w:pageBreakBefore w:val="0"/>
        <w:widowControl/>
        <w:kinsoku/>
        <w:wordWrap/>
        <w:overflowPunct/>
        <w:topLinePunct w:val="0"/>
        <w:autoSpaceDE w:val="0"/>
        <w:autoSpaceDN w:val="0"/>
        <w:bidi w:val="0"/>
        <w:adjustRightInd w:val="0"/>
        <w:snapToGrid w:val="0"/>
        <w:spacing w:before="217" w:beforeLines="50" w:line="240" w:lineRule="auto"/>
        <w:ind w:firstLine="504"/>
        <w:textAlignment w:val="baseline"/>
        <w:rPr>
          <w:rFonts w:hint="eastAsia" w:ascii="仿宋" w:hAnsi="仿宋" w:eastAsia="仿宋" w:cs="仿宋"/>
          <w:b w:val="0"/>
          <w:bCs/>
          <w:snapToGrid w:val="0"/>
          <w:color w:val="auto"/>
          <w:spacing w:val="6"/>
          <w:kern w:val="0"/>
          <w:sz w:val="24"/>
          <w:szCs w:val="24"/>
          <w:highlight w:val="none"/>
          <w:lang w:val="en-US" w:eastAsia="zh-CN"/>
        </w:rPr>
      </w:pPr>
      <w:r>
        <w:rPr>
          <w:rFonts w:hint="eastAsia" w:ascii="仿宋" w:hAnsi="仿宋" w:eastAsia="仿宋" w:cs="仿宋"/>
          <w:b w:val="0"/>
          <w:bCs/>
          <w:snapToGrid w:val="0"/>
          <w:color w:val="auto"/>
          <w:spacing w:val="6"/>
          <w:kern w:val="0"/>
          <w:sz w:val="24"/>
          <w:szCs w:val="24"/>
          <w:highlight w:val="none"/>
          <w:lang w:val="en-US" w:eastAsia="zh-CN"/>
        </w:rPr>
        <w:t>机构名称：江苏扬州农村商业银行股份有限公司</w:t>
      </w:r>
    </w:p>
    <w:p>
      <w:pPr>
        <w:keepNext w:val="0"/>
        <w:keepLines w:val="0"/>
        <w:pageBreakBefore w:val="0"/>
        <w:widowControl/>
        <w:kinsoku/>
        <w:wordWrap/>
        <w:overflowPunct/>
        <w:topLinePunct w:val="0"/>
        <w:autoSpaceDE w:val="0"/>
        <w:autoSpaceDN w:val="0"/>
        <w:bidi w:val="0"/>
        <w:adjustRightInd w:val="0"/>
        <w:snapToGrid w:val="0"/>
        <w:spacing w:before="217" w:beforeLines="50" w:line="240" w:lineRule="auto"/>
        <w:ind w:firstLine="504"/>
        <w:textAlignment w:val="baseline"/>
        <w:rPr>
          <w:rFonts w:hint="default" w:ascii="仿宋" w:hAnsi="仿宋" w:eastAsia="仿宋" w:cs="仿宋"/>
          <w:b w:val="0"/>
          <w:bCs/>
          <w:snapToGrid w:val="0"/>
          <w:color w:val="auto"/>
          <w:spacing w:val="6"/>
          <w:kern w:val="0"/>
          <w:sz w:val="24"/>
          <w:szCs w:val="24"/>
          <w:highlight w:val="none"/>
          <w:lang w:val="en-US" w:eastAsia="zh-CN"/>
        </w:rPr>
      </w:pPr>
      <w:r>
        <w:rPr>
          <w:rFonts w:hint="eastAsia" w:ascii="仿宋" w:hAnsi="仿宋" w:eastAsia="仿宋" w:cs="仿宋"/>
          <w:b w:val="0"/>
          <w:bCs/>
          <w:snapToGrid w:val="0"/>
          <w:color w:val="auto"/>
          <w:spacing w:val="6"/>
          <w:kern w:val="0"/>
          <w:sz w:val="24"/>
          <w:szCs w:val="24"/>
          <w:highlight w:val="none"/>
          <w:lang w:val="en-US" w:eastAsia="zh-CN"/>
        </w:rPr>
        <w:t>单位性质：股份有限公司（非上市）</w:t>
      </w:r>
    </w:p>
    <w:p>
      <w:pPr>
        <w:keepNext w:val="0"/>
        <w:keepLines w:val="0"/>
        <w:pageBreakBefore w:val="0"/>
        <w:widowControl/>
        <w:kinsoku/>
        <w:wordWrap/>
        <w:overflowPunct/>
        <w:topLinePunct w:val="0"/>
        <w:autoSpaceDE w:val="0"/>
        <w:autoSpaceDN w:val="0"/>
        <w:bidi w:val="0"/>
        <w:adjustRightInd w:val="0"/>
        <w:snapToGrid w:val="0"/>
        <w:spacing w:before="217" w:beforeLines="50" w:line="240" w:lineRule="auto"/>
        <w:ind w:firstLine="504"/>
        <w:textAlignment w:val="baseline"/>
        <w:rPr>
          <w:rFonts w:hint="default" w:ascii="仿宋" w:hAnsi="仿宋" w:eastAsia="仿宋" w:cs="仿宋"/>
          <w:b w:val="0"/>
          <w:bCs/>
          <w:snapToGrid w:val="0"/>
          <w:color w:val="auto"/>
          <w:spacing w:val="6"/>
          <w:kern w:val="0"/>
          <w:sz w:val="24"/>
          <w:szCs w:val="24"/>
          <w:highlight w:val="none"/>
          <w:lang w:val="en-US" w:eastAsia="zh-CN"/>
        </w:rPr>
      </w:pPr>
      <w:r>
        <w:rPr>
          <w:rFonts w:hint="eastAsia" w:ascii="仿宋" w:hAnsi="仿宋" w:eastAsia="仿宋" w:cs="仿宋"/>
          <w:b w:val="0"/>
          <w:bCs/>
          <w:snapToGrid w:val="0"/>
          <w:color w:val="auto"/>
          <w:spacing w:val="6"/>
          <w:kern w:val="0"/>
          <w:sz w:val="24"/>
          <w:szCs w:val="24"/>
          <w:highlight w:val="none"/>
          <w:lang w:val="en-US" w:eastAsia="zh-CN"/>
        </w:rPr>
        <w:t>所属行业：金融业&gt;货币金融服务</w:t>
      </w:r>
    </w:p>
    <w:p>
      <w:pPr>
        <w:keepNext w:val="0"/>
        <w:keepLines w:val="0"/>
        <w:pageBreakBefore w:val="0"/>
        <w:widowControl/>
        <w:kinsoku/>
        <w:wordWrap/>
        <w:overflowPunct/>
        <w:topLinePunct w:val="0"/>
        <w:autoSpaceDE w:val="0"/>
        <w:autoSpaceDN w:val="0"/>
        <w:bidi w:val="0"/>
        <w:adjustRightInd w:val="0"/>
        <w:snapToGrid w:val="0"/>
        <w:spacing w:before="217" w:beforeLines="50" w:line="240" w:lineRule="auto"/>
        <w:ind w:firstLine="504"/>
        <w:textAlignment w:val="baseline"/>
        <w:rPr>
          <w:rFonts w:hint="eastAsia" w:ascii="仿宋" w:hAnsi="仿宋" w:eastAsia="仿宋" w:cs="仿宋"/>
          <w:b w:val="0"/>
          <w:bCs/>
          <w:snapToGrid w:val="0"/>
          <w:color w:val="auto"/>
          <w:spacing w:val="6"/>
          <w:kern w:val="0"/>
          <w:sz w:val="24"/>
          <w:szCs w:val="24"/>
          <w:highlight w:val="none"/>
          <w:lang w:val="en-US" w:eastAsia="zh-CN"/>
        </w:rPr>
      </w:pPr>
      <w:r>
        <w:rPr>
          <w:rFonts w:hint="eastAsia" w:ascii="仿宋" w:hAnsi="仿宋" w:eastAsia="仿宋" w:cs="仿宋"/>
          <w:b w:val="0"/>
          <w:bCs/>
          <w:snapToGrid w:val="0"/>
          <w:color w:val="auto"/>
          <w:spacing w:val="6"/>
          <w:kern w:val="0"/>
          <w:sz w:val="24"/>
          <w:szCs w:val="24"/>
          <w:highlight w:val="none"/>
          <w:lang w:val="en-US" w:eastAsia="zh-CN"/>
        </w:rPr>
        <w:t>组织机构代码：9132100014073476XX</w:t>
      </w:r>
    </w:p>
    <w:p>
      <w:pPr>
        <w:keepNext w:val="0"/>
        <w:keepLines w:val="0"/>
        <w:pageBreakBefore w:val="0"/>
        <w:widowControl/>
        <w:kinsoku/>
        <w:wordWrap/>
        <w:overflowPunct/>
        <w:topLinePunct w:val="0"/>
        <w:autoSpaceDE w:val="0"/>
        <w:autoSpaceDN w:val="0"/>
        <w:bidi w:val="0"/>
        <w:adjustRightInd w:val="0"/>
        <w:snapToGrid w:val="0"/>
        <w:spacing w:before="217" w:beforeLines="50" w:line="240" w:lineRule="auto"/>
        <w:ind w:firstLine="504"/>
        <w:textAlignment w:val="baseline"/>
        <w:rPr>
          <w:rFonts w:hint="eastAsia" w:ascii="仿宋" w:hAnsi="仿宋" w:eastAsia="仿宋" w:cs="仿宋"/>
          <w:b w:val="0"/>
          <w:bCs/>
          <w:snapToGrid w:val="0"/>
          <w:color w:val="auto"/>
          <w:spacing w:val="6"/>
          <w:kern w:val="0"/>
          <w:sz w:val="24"/>
          <w:szCs w:val="24"/>
          <w:highlight w:val="none"/>
          <w:lang w:val="en-US" w:eastAsia="zh-CN"/>
        </w:rPr>
      </w:pPr>
      <w:r>
        <w:rPr>
          <w:rFonts w:hint="eastAsia" w:ascii="仿宋" w:hAnsi="仿宋" w:eastAsia="仿宋" w:cs="仿宋"/>
          <w:b w:val="0"/>
          <w:bCs/>
          <w:snapToGrid w:val="0"/>
          <w:color w:val="auto"/>
          <w:spacing w:val="6"/>
          <w:kern w:val="0"/>
          <w:sz w:val="24"/>
          <w:szCs w:val="24"/>
          <w:highlight w:val="none"/>
          <w:lang w:val="en-US" w:eastAsia="zh-CN"/>
        </w:rPr>
        <w:t>联系电话：0514-82990219</w:t>
      </w:r>
    </w:p>
    <w:p>
      <w:pPr>
        <w:keepNext w:val="0"/>
        <w:keepLines w:val="0"/>
        <w:pageBreakBefore w:val="0"/>
        <w:widowControl/>
        <w:kinsoku/>
        <w:wordWrap/>
        <w:overflowPunct/>
        <w:topLinePunct w:val="0"/>
        <w:autoSpaceDE w:val="0"/>
        <w:autoSpaceDN w:val="0"/>
        <w:bidi w:val="0"/>
        <w:adjustRightInd w:val="0"/>
        <w:snapToGrid w:val="0"/>
        <w:spacing w:before="217" w:beforeLines="50" w:line="240" w:lineRule="auto"/>
        <w:ind w:firstLine="504"/>
        <w:textAlignment w:val="baseline"/>
        <w:rPr>
          <w:rFonts w:hint="eastAsia"/>
          <w:lang w:val="en-US" w:eastAsia="zh-CN"/>
        </w:rPr>
      </w:pPr>
      <w:r>
        <w:rPr>
          <w:rFonts w:hint="eastAsia" w:ascii="仿宋" w:hAnsi="仿宋" w:eastAsia="仿宋" w:cs="仿宋"/>
          <w:b w:val="0"/>
          <w:bCs/>
          <w:snapToGrid w:val="0"/>
          <w:color w:val="auto"/>
          <w:spacing w:val="6"/>
          <w:kern w:val="0"/>
          <w:sz w:val="24"/>
          <w:szCs w:val="24"/>
          <w:highlight w:val="none"/>
          <w:lang w:val="en-US" w:eastAsia="zh-CN"/>
        </w:rPr>
        <w:t>地址：江苏省扬州市同泰路107号</w:t>
      </w:r>
    </w:p>
    <w:p>
      <w:pPr>
        <w:pStyle w:val="2"/>
        <w:keepNext w:val="0"/>
        <w:keepLines w:val="0"/>
        <w:pageBreakBefore w:val="0"/>
        <w:kinsoku/>
        <w:wordWrap/>
        <w:overflowPunct/>
        <w:topLinePunct w:val="0"/>
        <w:bidi w:val="0"/>
        <w:ind w:left="0" w:leftChars="0" w:firstLine="0" w:firstLineChars="0"/>
        <w:rPr>
          <w:rFonts w:hint="eastAsia" w:ascii="仿宋" w:hAnsi="仿宋" w:eastAsia="仿宋" w:cs="仿宋"/>
          <w:b w:val="0"/>
          <w:bCs/>
          <w:snapToGrid w:val="0"/>
          <w:color w:val="000000" w:themeColor="text1"/>
          <w:spacing w:val="6"/>
          <w:kern w:val="0"/>
          <w:sz w:val="24"/>
          <w:szCs w:val="24"/>
          <w:lang w:val="en-US" w:eastAsia="zh-CN"/>
          <w14:textFill>
            <w14:solidFill>
              <w14:schemeClr w14:val="tx1"/>
            </w14:solidFill>
          </w14:textFill>
        </w:rPr>
      </w:pPr>
    </w:p>
    <w:p>
      <w:pPr>
        <w:keepNext w:val="0"/>
        <w:keepLines w:val="0"/>
        <w:pageBreakBefore w:val="0"/>
        <w:widowControl/>
        <w:kinsoku/>
        <w:wordWrap/>
        <w:overflowPunct/>
        <w:topLinePunct w:val="0"/>
        <w:autoSpaceDE w:val="0"/>
        <w:autoSpaceDN w:val="0"/>
        <w:bidi w:val="0"/>
        <w:adjustRightInd w:val="0"/>
        <w:snapToGrid w:val="0"/>
        <w:spacing w:before="149" w:beforeLines="50" w:line="240" w:lineRule="auto"/>
        <w:ind w:firstLine="480" w:firstLineChars="200"/>
        <w:textAlignment w:val="baseline"/>
        <w:outlineLvl w:val="2"/>
        <w:rPr>
          <w:rFonts w:hint="eastAsia" w:ascii="微软雅黑" w:hAnsi="微软雅黑" w:eastAsia="微软雅黑" w:cs="微软雅黑"/>
          <w:b w:val="0"/>
          <w:bCs/>
          <w:color w:val="000000" w:themeColor="text1"/>
          <w:kern w:val="2"/>
          <w:sz w:val="24"/>
          <w:szCs w:val="24"/>
          <w:lang w:val="en-US" w:eastAsia="zh-CN" w:bidi="ar-SA"/>
          <w14:textFill>
            <w14:solidFill>
              <w14:schemeClr w14:val="tx1"/>
            </w14:solidFill>
          </w14:textFill>
        </w:rPr>
      </w:pPr>
      <w:r>
        <w:rPr>
          <w:rFonts w:hint="eastAsia" w:ascii="微软雅黑" w:hAnsi="微软雅黑" w:eastAsia="微软雅黑" w:cs="微软雅黑"/>
          <w:b w:val="0"/>
          <w:bCs/>
          <w:color w:val="000000" w:themeColor="text1"/>
          <w:kern w:val="2"/>
          <w:sz w:val="24"/>
          <w:szCs w:val="24"/>
          <w:lang w:val="en-US" w:eastAsia="zh-CN" w:bidi="ar-SA"/>
          <w14:textFill>
            <w14:solidFill>
              <w14:schemeClr w14:val="tx1"/>
            </w14:solidFill>
          </w14:textFill>
        </w:rPr>
        <w:t>1.2.2机构简介:</w:t>
      </w:r>
    </w:p>
    <w:p>
      <w:pPr>
        <w:keepNext w:val="0"/>
        <w:keepLines w:val="0"/>
        <w:pageBreakBefore w:val="0"/>
        <w:widowControl/>
        <w:kinsoku/>
        <w:wordWrap/>
        <w:overflowPunct/>
        <w:topLinePunct w:val="0"/>
        <w:autoSpaceDE w:val="0"/>
        <w:autoSpaceDN w:val="0"/>
        <w:bidi w:val="0"/>
        <w:adjustRightInd w:val="0"/>
        <w:snapToGrid w:val="0"/>
        <w:spacing w:before="217" w:beforeLines="50" w:line="240" w:lineRule="auto"/>
        <w:ind w:firstLine="504"/>
        <w:textAlignment w:val="baseline"/>
        <w:rPr>
          <w:rFonts w:hint="eastAsia" w:ascii="仿宋" w:hAnsi="仿宋" w:eastAsia="仿宋" w:cs="仿宋"/>
          <w:b w:val="0"/>
          <w:bCs/>
          <w:snapToGrid w:val="0"/>
          <w:color w:val="auto"/>
          <w:spacing w:val="6"/>
          <w:kern w:val="0"/>
          <w:sz w:val="24"/>
          <w:szCs w:val="24"/>
          <w:highlight w:val="none"/>
        </w:rPr>
      </w:pPr>
      <w:r>
        <w:rPr>
          <w:rFonts w:hint="default" w:ascii="仿宋" w:hAnsi="仿宋" w:eastAsia="仿宋" w:cs="仿宋"/>
          <w:b w:val="0"/>
          <w:bCs/>
          <w:snapToGrid w:val="0"/>
          <w:color w:val="auto"/>
          <w:spacing w:val="6"/>
          <w:kern w:val="0"/>
          <w:sz w:val="24"/>
          <w:szCs w:val="24"/>
          <w:highlight w:val="none"/>
        </w:rPr>
        <w:t>江苏扬州农村商业银行股份有限公司（以下简称“扬州农商银行”）现有注册资本90,897.912万元，下设52家营业网点，员工800余名。</w:t>
      </w:r>
    </w:p>
    <w:p>
      <w:pPr>
        <w:keepNext w:val="0"/>
        <w:keepLines w:val="0"/>
        <w:pageBreakBefore w:val="0"/>
        <w:widowControl/>
        <w:kinsoku/>
        <w:wordWrap/>
        <w:overflowPunct/>
        <w:topLinePunct w:val="0"/>
        <w:autoSpaceDE w:val="0"/>
        <w:autoSpaceDN w:val="0"/>
        <w:bidi w:val="0"/>
        <w:adjustRightInd w:val="0"/>
        <w:snapToGrid w:val="0"/>
        <w:spacing w:before="217" w:beforeLines="50" w:line="240" w:lineRule="auto"/>
        <w:ind w:firstLine="504"/>
        <w:textAlignment w:val="baseline"/>
        <w:rPr>
          <w:rFonts w:hint="default" w:ascii="仿宋" w:hAnsi="仿宋" w:eastAsia="仿宋" w:cs="仿宋"/>
          <w:b w:val="0"/>
          <w:bCs/>
          <w:snapToGrid w:val="0"/>
          <w:color w:val="auto"/>
          <w:spacing w:val="6"/>
          <w:kern w:val="0"/>
          <w:sz w:val="24"/>
          <w:szCs w:val="24"/>
          <w:highlight w:val="none"/>
        </w:rPr>
      </w:pPr>
      <w:r>
        <w:rPr>
          <w:rFonts w:hint="default" w:ascii="仿宋" w:hAnsi="仿宋" w:eastAsia="仿宋" w:cs="仿宋"/>
          <w:b w:val="0"/>
          <w:bCs/>
          <w:snapToGrid w:val="0"/>
          <w:color w:val="auto"/>
          <w:spacing w:val="6"/>
          <w:kern w:val="0"/>
          <w:sz w:val="24"/>
          <w:szCs w:val="24"/>
          <w:highlight w:val="none"/>
        </w:rPr>
        <w:t>本行坚持以习近平新时代中国特色社会主义思想为指导，锚定“精品零售银行”战略目标，立足“三农”沃土，专注服务小微企业，持续调优结构、严控风险、提升服务、夯实基础，奋力提高经营管理水平和市场竞争力。</w:t>
      </w:r>
    </w:p>
    <w:p>
      <w:pPr>
        <w:keepNext w:val="0"/>
        <w:keepLines w:val="0"/>
        <w:pageBreakBefore w:val="0"/>
        <w:widowControl/>
        <w:kinsoku/>
        <w:wordWrap/>
        <w:overflowPunct/>
        <w:topLinePunct w:val="0"/>
        <w:autoSpaceDE w:val="0"/>
        <w:autoSpaceDN w:val="0"/>
        <w:bidi w:val="0"/>
        <w:adjustRightInd w:val="0"/>
        <w:snapToGrid w:val="0"/>
        <w:spacing w:before="217" w:beforeLines="50" w:line="240" w:lineRule="auto"/>
        <w:ind w:firstLine="504"/>
        <w:textAlignment w:val="baseline"/>
        <w:rPr>
          <w:rFonts w:hint="default" w:ascii="仿宋" w:hAnsi="仿宋" w:eastAsia="仿宋" w:cs="仿宋"/>
          <w:b w:val="0"/>
          <w:bCs/>
          <w:snapToGrid w:val="0"/>
          <w:color w:val="auto"/>
          <w:spacing w:val="6"/>
          <w:kern w:val="0"/>
          <w:sz w:val="24"/>
          <w:szCs w:val="24"/>
          <w:highlight w:val="none"/>
        </w:rPr>
      </w:pPr>
      <w:r>
        <w:rPr>
          <w:rFonts w:hint="default" w:ascii="仿宋" w:hAnsi="仿宋" w:eastAsia="仿宋" w:cs="仿宋"/>
          <w:b w:val="0"/>
          <w:bCs/>
          <w:snapToGrid w:val="0"/>
          <w:color w:val="auto"/>
          <w:spacing w:val="6"/>
          <w:kern w:val="0"/>
          <w:sz w:val="24"/>
          <w:szCs w:val="24"/>
          <w:highlight w:val="none"/>
        </w:rPr>
        <w:t>截至2025年末，全行资产总额达691.55亿元，各项存款余额599.93亿元，各项贷款余额464.24亿元，业务规模稳步增长。</w:t>
      </w:r>
    </w:p>
    <w:p>
      <w:pPr>
        <w:keepNext w:val="0"/>
        <w:keepLines w:val="0"/>
        <w:pageBreakBefore w:val="0"/>
        <w:widowControl/>
        <w:kinsoku/>
        <w:wordWrap/>
        <w:overflowPunct/>
        <w:topLinePunct w:val="0"/>
        <w:autoSpaceDE w:val="0"/>
        <w:autoSpaceDN w:val="0"/>
        <w:bidi w:val="0"/>
        <w:adjustRightInd w:val="0"/>
        <w:snapToGrid w:val="0"/>
        <w:spacing w:before="217" w:beforeLines="50" w:line="240" w:lineRule="auto"/>
        <w:ind w:firstLine="504"/>
        <w:textAlignment w:val="baseline"/>
        <w:rPr>
          <w:rFonts w:hint="default" w:ascii="仿宋" w:hAnsi="仿宋" w:eastAsia="仿宋" w:cs="仿宋"/>
          <w:b w:val="0"/>
          <w:bCs/>
          <w:snapToGrid w:val="0"/>
          <w:color w:val="auto"/>
          <w:spacing w:val="6"/>
          <w:kern w:val="0"/>
          <w:sz w:val="24"/>
          <w:szCs w:val="24"/>
          <w:highlight w:val="none"/>
        </w:rPr>
      </w:pPr>
      <w:r>
        <w:rPr>
          <w:rFonts w:hint="default" w:ascii="仿宋" w:hAnsi="仿宋" w:eastAsia="仿宋" w:cs="仿宋"/>
          <w:b w:val="0"/>
          <w:bCs/>
          <w:snapToGrid w:val="0"/>
          <w:color w:val="auto"/>
          <w:spacing w:val="6"/>
          <w:kern w:val="0"/>
          <w:sz w:val="24"/>
          <w:szCs w:val="24"/>
          <w:highlight w:val="none"/>
        </w:rPr>
        <w:t>自成立以来，本行积极融入扬州地方经济社会发展，先后荣获“市级机关目标综合考评先进单位”“小微企业服务先进单位”“省级文明单位”“全国文明单位”等称号，被誉为“扬州人自己的银行”。</w:t>
      </w:r>
    </w:p>
    <w:p>
      <w:pPr>
        <w:keepNext w:val="0"/>
        <w:keepLines w:val="0"/>
        <w:pageBreakBefore w:val="0"/>
        <w:widowControl/>
        <w:kinsoku/>
        <w:wordWrap/>
        <w:overflowPunct/>
        <w:topLinePunct w:val="0"/>
        <w:autoSpaceDE w:val="0"/>
        <w:autoSpaceDN w:val="0"/>
        <w:bidi w:val="0"/>
        <w:adjustRightInd w:val="0"/>
        <w:snapToGrid w:val="0"/>
        <w:spacing w:before="217" w:beforeLines="50" w:line="240" w:lineRule="auto"/>
        <w:ind w:firstLine="504"/>
        <w:textAlignment w:val="baseline"/>
        <w:rPr>
          <w:rFonts w:hint="default" w:ascii="仿宋" w:hAnsi="仿宋" w:eastAsia="仿宋" w:cs="仿宋"/>
          <w:b w:val="0"/>
          <w:bCs/>
          <w:snapToGrid w:val="0"/>
          <w:color w:val="auto"/>
          <w:spacing w:val="6"/>
          <w:kern w:val="0"/>
          <w:sz w:val="24"/>
          <w:szCs w:val="24"/>
          <w:highlight w:val="none"/>
        </w:rPr>
      </w:pPr>
      <w:r>
        <w:rPr>
          <w:rFonts w:hint="default" w:ascii="仿宋" w:hAnsi="仿宋" w:eastAsia="仿宋" w:cs="仿宋"/>
          <w:b w:val="0"/>
          <w:bCs/>
          <w:snapToGrid w:val="0"/>
          <w:color w:val="auto"/>
          <w:spacing w:val="6"/>
          <w:kern w:val="0"/>
          <w:sz w:val="24"/>
          <w:szCs w:val="24"/>
          <w:highlight w:val="none"/>
        </w:rPr>
        <w:t>面向未来，扬州农商银行将秉承“精诚、昱德、立新”的企业核心价值观，弘扬“奋苦者大为”的企业精神，坚守服务“三农”的历史根基，紧握创新转型的时代舵盘，以高质量发展为主线，深耕普惠金融，服务实体经济，支持乡村振兴，为地方经济发展贡献更大力量。我们将不懈践行“富强美好城乡，筑梦扬州金融”的企业使命，努力实现“区域最具服务力的银行”的发展愿景。</w:t>
      </w:r>
    </w:p>
    <w:p>
      <w:pPr>
        <w:pStyle w:val="2"/>
        <w:keepNext w:val="0"/>
        <w:keepLines w:val="0"/>
        <w:pageBreakBefore w:val="0"/>
        <w:kinsoku/>
        <w:wordWrap/>
        <w:overflowPunct/>
        <w:topLinePunct w:val="0"/>
        <w:bidi w:val="0"/>
        <w:ind w:left="0" w:leftChars="0" w:firstLine="0" w:firstLineChars="0"/>
        <w:rPr>
          <w:rFonts w:hint="eastAsia" w:ascii="仿宋" w:hAnsi="仿宋" w:eastAsia="仿宋" w:cs="仿宋"/>
          <w:b w:val="0"/>
          <w:bCs/>
          <w:snapToGrid w:val="0"/>
          <w:color w:val="000000" w:themeColor="text1"/>
          <w:spacing w:val="6"/>
          <w:kern w:val="0"/>
          <w:sz w:val="24"/>
          <w:szCs w:val="24"/>
          <w:lang w:val="en-US" w:eastAsia="zh-CN"/>
          <w14:textFill>
            <w14:solidFill>
              <w14:schemeClr w14:val="tx1"/>
            </w14:solidFill>
          </w14:textFill>
        </w:rPr>
      </w:pPr>
    </w:p>
    <w:p>
      <w:pPr>
        <w:keepNext w:val="0"/>
        <w:keepLines w:val="0"/>
        <w:pageBreakBefore w:val="0"/>
        <w:kinsoku/>
        <w:wordWrap/>
        <w:overflowPunct/>
        <w:topLinePunct w:val="0"/>
        <w:bidi w:val="0"/>
        <w:ind w:left="0" w:leftChars="0" w:firstLine="0" w:firstLineChars="0"/>
        <w:rPr>
          <w:rFonts w:hint="eastAsia" w:ascii="微软雅黑" w:hAnsi="微软雅黑" w:eastAsia="微软雅黑" w:cs="微软雅黑"/>
          <w:b w:val="0"/>
          <w:bCs/>
          <w:color w:val="000000" w:themeColor="text1"/>
          <w:kern w:val="2"/>
          <w:sz w:val="32"/>
          <w:szCs w:val="32"/>
          <w:lang w:val="en-US" w:eastAsia="zh-CN" w:bidi="ar-SA"/>
          <w14:textFill>
            <w14:solidFill>
              <w14:schemeClr w14:val="tx1"/>
            </w14:solidFill>
          </w14:textFill>
        </w:rPr>
      </w:pPr>
      <w:r>
        <w:rPr>
          <w:rFonts w:hint="eastAsia" w:ascii="微软雅黑" w:hAnsi="微软雅黑" w:eastAsia="微软雅黑" w:cs="微软雅黑"/>
          <w:b w:val="0"/>
          <w:bCs/>
          <w:color w:val="000000" w:themeColor="text1"/>
          <w:kern w:val="2"/>
          <w:sz w:val="32"/>
          <w:szCs w:val="32"/>
          <w:lang w:val="en-US" w:eastAsia="zh-CN" w:bidi="ar-SA"/>
          <w14:textFill>
            <w14:solidFill>
              <w14:schemeClr w14:val="tx1"/>
            </w14:solidFill>
          </w14:textFill>
        </w:rPr>
        <w:br w:type="page"/>
      </w:r>
    </w:p>
    <w:p>
      <w:pPr>
        <w:pStyle w:val="18"/>
        <w:keepNext w:val="0"/>
        <w:keepLines w:val="0"/>
        <w:pageBreakBefore w:val="0"/>
        <w:numPr>
          <w:ilvl w:val="0"/>
          <w:numId w:val="6"/>
        </w:numPr>
        <w:tabs>
          <w:tab w:val="right" w:leader="dot" w:pos="9897"/>
        </w:tabs>
        <w:kinsoku/>
        <w:wordWrap/>
        <w:overflowPunct/>
        <w:topLinePunct w:val="0"/>
        <w:bidi w:val="0"/>
        <w:adjustRightInd w:val="0"/>
        <w:snapToGrid w:val="0"/>
        <w:spacing w:line="240" w:lineRule="auto"/>
        <w:ind w:left="0" w:leftChars="0" w:firstLine="0" w:firstLineChars="0"/>
        <w:jc w:val="center"/>
        <w:outlineLvl w:val="0"/>
        <w:rPr>
          <w:rFonts w:hint="eastAsia" w:ascii="微软雅黑" w:hAnsi="微软雅黑" w:eastAsia="微软雅黑" w:cs="微软雅黑"/>
          <w:b w:val="0"/>
          <w:bCs/>
          <w:color w:val="00B050"/>
          <w:kern w:val="2"/>
          <w:sz w:val="32"/>
          <w:szCs w:val="32"/>
          <w:lang w:val="en-US" w:eastAsia="zh-CN" w:bidi="ar-SA"/>
        </w:rPr>
      </w:pPr>
      <w:bookmarkStart w:id="4" w:name="_Toc18771"/>
      <w:r>
        <w:rPr>
          <w:rFonts w:hint="eastAsia" w:ascii="微软雅黑" w:hAnsi="微软雅黑" w:eastAsia="微软雅黑" w:cs="微软雅黑"/>
          <w:b w:val="0"/>
          <w:bCs/>
          <w:color w:val="00B050"/>
          <w:kern w:val="2"/>
          <w:sz w:val="32"/>
          <w:szCs w:val="32"/>
          <w:lang w:val="en-US" w:eastAsia="zh-CN" w:bidi="ar-SA"/>
        </w:rPr>
        <w:t>年度概况</w:t>
      </w:r>
      <w:bookmarkEnd w:id="4"/>
    </w:p>
    <w:p>
      <w:pPr>
        <w:keepNext w:val="0"/>
        <w:keepLines w:val="0"/>
        <w:pageBreakBefore w:val="0"/>
        <w:widowControl/>
        <w:numPr>
          <w:ilvl w:val="0"/>
          <w:numId w:val="0"/>
        </w:numPr>
        <w:kinsoku/>
        <w:wordWrap/>
        <w:overflowPunct/>
        <w:topLinePunct w:val="0"/>
        <w:autoSpaceDE w:val="0"/>
        <w:autoSpaceDN w:val="0"/>
        <w:bidi w:val="0"/>
        <w:adjustRightInd w:val="0"/>
        <w:snapToGrid w:val="0"/>
        <w:spacing w:before="149" w:beforeLines="50" w:line="240" w:lineRule="auto"/>
        <w:ind w:left="0" w:leftChars="0" w:firstLine="0" w:firstLineChars="0"/>
        <w:textAlignment w:val="baseline"/>
        <w:outlineLvl w:val="0"/>
        <w:rPr>
          <w:rFonts w:hint="eastAsia" w:ascii="微软雅黑" w:hAnsi="微软雅黑" w:eastAsia="微软雅黑" w:cs="微软雅黑"/>
          <w:b w:val="0"/>
          <w:bCs/>
          <w:color w:val="000000" w:themeColor="text1"/>
          <w:kern w:val="2"/>
          <w:sz w:val="28"/>
          <w:szCs w:val="28"/>
          <w:lang w:val="en-US" w:eastAsia="zh-CN" w:bidi="ar-SA"/>
          <w14:textFill>
            <w14:solidFill>
              <w14:schemeClr w14:val="tx1"/>
            </w14:solidFill>
          </w14:textFill>
        </w:rPr>
      </w:pPr>
      <w:bookmarkStart w:id="5" w:name="_Toc21064"/>
      <w:r>
        <w:rPr>
          <w:rFonts w:hint="eastAsia" w:ascii="微软雅黑" w:hAnsi="微软雅黑" w:eastAsia="微软雅黑" w:cs="微软雅黑"/>
          <w:b w:val="0"/>
          <w:bCs/>
          <w:color w:val="000000" w:themeColor="text1"/>
          <w:kern w:val="2"/>
          <w:sz w:val="28"/>
          <w:szCs w:val="28"/>
          <w:lang w:val="en-US" w:eastAsia="zh-CN" w:bidi="ar-SA"/>
          <w14:textFill>
            <w14:solidFill>
              <w14:schemeClr w14:val="tx1"/>
            </w14:solidFill>
          </w14:textFill>
        </w:rPr>
        <w:t>2.1 环境相关目标愿景</w:t>
      </w:r>
      <w:bookmarkEnd w:id="5"/>
    </w:p>
    <w:p>
      <w:pPr>
        <w:keepNext w:val="0"/>
        <w:keepLines w:val="0"/>
        <w:pageBreakBefore w:val="0"/>
        <w:widowControl/>
        <w:kinsoku/>
        <w:wordWrap/>
        <w:overflowPunct/>
        <w:topLinePunct w:val="0"/>
        <w:autoSpaceDE w:val="0"/>
        <w:autoSpaceDN w:val="0"/>
        <w:bidi w:val="0"/>
        <w:adjustRightInd w:val="0"/>
        <w:snapToGrid w:val="0"/>
        <w:spacing w:before="217" w:beforeLines="50" w:line="240" w:lineRule="auto"/>
        <w:ind w:firstLine="504"/>
        <w:textAlignment w:val="baseline"/>
        <w:rPr>
          <w:rFonts w:hint="default" w:ascii="仿宋" w:hAnsi="仿宋" w:eastAsia="仿宋" w:cs="仿宋"/>
          <w:b w:val="0"/>
          <w:bCs/>
          <w:snapToGrid w:val="0"/>
          <w:color w:val="auto"/>
          <w:spacing w:val="6"/>
          <w:kern w:val="0"/>
          <w:sz w:val="24"/>
          <w:szCs w:val="24"/>
          <w:highlight w:val="none"/>
        </w:rPr>
      </w:pPr>
      <w:r>
        <w:rPr>
          <w:rFonts w:hint="default" w:ascii="仿宋" w:hAnsi="仿宋" w:eastAsia="仿宋" w:cs="仿宋"/>
          <w:b w:val="0"/>
          <w:bCs/>
          <w:snapToGrid w:val="0"/>
          <w:color w:val="auto"/>
          <w:spacing w:val="6"/>
          <w:kern w:val="0"/>
          <w:sz w:val="24"/>
          <w:szCs w:val="24"/>
          <w:highlight w:val="none"/>
        </w:rPr>
        <w:t>扬州农商银行始终坚持以习近平生态文明思想为指引，深入贯彻党中央、国务院关于碳达峰、碳中和的重大战略决策，将绿色发展理念全面融入战略规划、业务运营与内部管理，致力于打造区域最具服务力的绿色银行。</w:t>
      </w:r>
    </w:p>
    <w:p>
      <w:pPr>
        <w:keepNext w:val="0"/>
        <w:keepLines w:val="0"/>
        <w:pageBreakBefore w:val="0"/>
        <w:widowControl/>
        <w:kinsoku/>
        <w:wordWrap/>
        <w:overflowPunct/>
        <w:topLinePunct w:val="0"/>
        <w:autoSpaceDE w:val="0"/>
        <w:autoSpaceDN w:val="0"/>
        <w:bidi w:val="0"/>
        <w:adjustRightInd w:val="0"/>
        <w:snapToGrid w:val="0"/>
        <w:spacing w:before="217" w:beforeLines="50" w:line="240" w:lineRule="auto"/>
        <w:ind w:firstLine="504"/>
        <w:textAlignment w:val="baseline"/>
        <w:rPr>
          <w:rFonts w:hint="default" w:ascii="仿宋" w:hAnsi="仿宋" w:eastAsia="仿宋" w:cs="仿宋"/>
          <w:b w:val="0"/>
          <w:bCs/>
          <w:snapToGrid w:val="0"/>
          <w:color w:val="auto"/>
          <w:spacing w:val="6"/>
          <w:kern w:val="0"/>
          <w:sz w:val="24"/>
          <w:szCs w:val="24"/>
          <w:highlight w:val="none"/>
        </w:rPr>
      </w:pPr>
      <w:r>
        <w:rPr>
          <w:rFonts w:hint="eastAsia" w:ascii="仿宋" w:hAnsi="仿宋" w:eastAsia="仿宋" w:cs="仿宋"/>
          <w:b w:val="0"/>
          <w:bCs/>
          <w:snapToGrid w:val="0"/>
          <w:color w:val="auto"/>
          <w:spacing w:val="6"/>
          <w:kern w:val="0"/>
          <w:sz w:val="24"/>
          <w:szCs w:val="24"/>
          <w:highlight w:val="none"/>
          <w:lang w:eastAsia="zh-CN"/>
        </w:rPr>
        <w:t>（</w:t>
      </w:r>
      <w:r>
        <w:rPr>
          <w:rFonts w:hint="eastAsia" w:ascii="仿宋" w:hAnsi="仿宋" w:eastAsia="仿宋" w:cs="仿宋"/>
          <w:b w:val="0"/>
          <w:bCs/>
          <w:snapToGrid w:val="0"/>
          <w:color w:val="auto"/>
          <w:spacing w:val="6"/>
          <w:kern w:val="0"/>
          <w:sz w:val="24"/>
          <w:szCs w:val="24"/>
          <w:highlight w:val="none"/>
          <w:lang w:val="en-US" w:eastAsia="zh-CN"/>
        </w:rPr>
        <w:t>1</w:t>
      </w:r>
      <w:r>
        <w:rPr>
          <w:rFonts w:hint="eastAsia" w:ascii="仿宋" w:hAnsi="仿宋" w:eastAsia="仿宋" w:cs="仿宋"/>
          <w:b w:val="0"/>
          <w:bCs/>
          <w:snapToGrid w:val="0"/>
          <w:color w:val="auto"/>
          <w:spacing w:val="6"/>
          <w:kern w:val="0"/>
          <w:sz w:val="24"/>
          <w:szCs w:val="24"/>
          <w:highlight w:val="none"/>
          <w:lang w:eastAsia="zh-CN"/>
        </w:rPr>
        <w:t>）</w:t>
      </w:r>
      <w:r>
        <w:rPr>
          <w:rFonts w:hint="default" w:ascii="仿宋" w:hAnsi="仿宋" w:eastAsia="仿宋" w:cs="仿宋"/>
          <w:b w:val="0"/>
          <w:bCs/>
          <w:snapToGrid w:val="0"/>
          <w:color w:val="auto"/>
          <w:spacing w:val="6"/>
          <w:kern w:val="0"/>
          <w:sz w:val="24"/>
          <w:szCs w:val="24"/>
          <w:highlight w:val="none"/>
        </w:rPr>
        <w:t>信贷投向方面，本行结合扬州地方经济特征，明确了绿色农村农业、绿色制造、绿色水资源治理、绿色生态城市建设四大重点支持方向，积极对接乡村振兴、制造业绿色改造、大运河及南水北调生态保护、清洁能源发展等领域。通过创新“光伏创收贷”“环保贷”“排污权抵押贷”等特色产品，并拓展专利权质押、贸易融资等多元化担保方式，有效降低绿色企业融资门槛。同时积极探索“苏碳融”“园区保”等创新产品，借助金融科技手段优化绿色信贷流程管理，逐步构建支持绿色发展的良性常态机制，切实将信贷资源向节能环保、清洁能源、绿色交通、绿色建筑等低碳领域倾斜。</w:t>
      </w:r>
    </w:p>
    <w:p>
      <w:pPr>
        <w:keepNext w:val="0"/>
        <w:keepLines w:val="0"/>
        <w:pageBreakBefore w:val="0"/>
        <w:widowControl/>
        <w:kinsoku/>
        <w:wordWrap/>
        <w:overflowPunct/>
        <w:topLinePunct w:val="0"/>
        <w:autoSpaceDE w:val="0"/>
        <w:autoSpaceDN w:val="0"/>
        <w:bidi w:val="0"/>
        <w:adjustRightInd w:val="0"/>
        <w:snapToGrid w:val="0"/>
        <w:spacing w:before="217" w:beforeLines="50" w:line="240" w:lineRule="auto"/>
        <w:ind w:firstLine="504"/>
        <w:textAlignment w:val="baseline"/>
        <w:rPr>
          <w:rFonts w:hint="default" w:ascii="仿宋" w:hAnsi="仿宋" w:eastAsia="仿宋" w:cs="仿宋"/>
          <w:b w:val="0"/>
          <w:bCs/>
          <w:snapToGrid w:val="0"/>
          <w:color w:val="auto"/>
          <w:spacing w:val="6"/>
          <w:kern w:val="0"/>
          <w:sz w:val="24"/>
          <w:szCs w:val="24"/>
          <w:highlight w:val="none"/>
        </w:rPr>
      </w:pPr>
      <w:r>
        <w:rPr>
          <w:rFonts w:hint="eastAsia" w:ascii="仿宋" w:hAnsi="仿宋" w:eastAsia="仿宋" w:cs="仿宋"/>
          <w:b w:val="0"/>
          <w:bCs/>
          <w:snapToGrid w:val="0"/>
          <w:color w:val="auto"/>
          <w:spacing w:val="6"/>
          <w:kern w:val="0"/>
          <w:sz w:val="24"/>
          <w:szCs w:val="24"/>
          <w:highlight w:val="none"/>
          <w:lang w:eastAsia="zh-CN"/>
        </w:rPr>
        <w:t>（</w:t>
      </w:r>
      <w:r>
        <w:rPr>
          <w:rFonts w:hint="eastAsia" w:ascii="仿宋" w:hAnsi="仿宋" w:eastAsia="仿宋" w:cs="仿宋"/>
          <w:b w:val="0"/>
          <w:bCs/>
          <w:snapToGrid w:val="0"/>
          <w:color w:val="auto"/>
          <w:spacing w:val="6"/>
          <w:kern w:val="0"/>
          <w:sz w:val="24"/>
          <w:szCs w:val="24"/>
          <w:highlight w:val="none"/>
          <w:lang w:val="en-US" w:eastAsia="zh-CN"/>
        </w:rPr>
        <w:t>2</w:t>
      </w:r>
      <w:r>
        <w:rPr>
          <w:rFonts w:hint="eastAsia" w:ascii="仿宋" w:hAnsi="仿宋" w:eastAsia="仿宋" w:cs="仿宋"/>
          <w:b w:val="0"/>
          <w:bCs/>
          <w:snapToGrid w:val="0"/>
          <w:color w:val="auto"/>
          <w:spacing w:val="6"/>
          <w:kern w:val="0"/>
          <w:sz w:val="24"/>
          <w:szCs w:val="24"/>
          <w:highlight w:val="none"/>
          <w:lang w:eastAsia="zh-CN"/>
        </w:rPr>
        <w:t>）</w:t>
      </w:r>
      <w:r>
        <w:rPr>
          <w:rFonts w:hint="default" w:ascii="仿宋" w:hAnsi="仿宋" w:eastAsia="仿宋" w:cs="仿宋"/>
          <w:b w:val="0"/>
          <w:bCs/>
          <w:snapToGrid w:val="0"/>
          <w:color w:val="auto"/>
          <w:spacing w:val="6"/>
          <w:kern w:val="0"/>
          <w:sz w:val="24"/>
          <w:szCs w:val="24"/>
          <w:highlight w:val="none"/>
        </w:rPr>
        <w:t>绿色运营方面，本行致力于打造数智化绿色银行，通过推进管理流程线上化、自动化、无纸化改造，有效降低运营资源消耗；严格落实绿色低碳办公措施，包括办公场所节能巡检、空调系统优化、公务用车统筹调度、优先采购节能环保设备以及大力推广线上视频会议等，从自身运营端切实减少碳排放，践行节能环保理念。</w:t>
      </w:r>
    </w:p>
    <w:p>
      <w:pPr>
        <w:keepNext w:val="0"/>
        <w:keepLines w:val="0"/>
        <w:pageBreakBefore w:val="0"/>
        <w:widowControl/>
        <w:kinsoku/>
        <w:wordWrap/>
        <w:overflowPunct/>
        <w:topLinePunct w:val="0"/>
        <w:autoSpaceDE w:val="0"/>
        <w:autoSpaceDN w:val="0"/>
        <w:bidi w:val="0"/>
        <w:adjustRightInd w:val="0"/>
        <w:snapToGrid w:val="0"/>
        <w:spacing w:before="217" w:beforeLines="50" w:line="240" w:lineRule="auto"/>
        <w:ind w:firstLine="504"/>
        <w:textAlignment w:val="baseline"/>
        <w:rPr>
          <w:rFonts w:hint="default" w:ascii="仿宋" w:hAnsi="仿宋" w:eastAsia="仿宋" w:cs="仿宋"/>
          <w:b w:val="0"/>
          <w:bCs/>
          <w:snapToGrid w:val="0"/>
          <w:color w:val="auto"/>
          <w:spacing w:val="6"/>
          <w:kern w:val="0"/>
          <w:sz w:val="24"/>
          <w:szCs w:val="24"/>
          <w:highlight w:val="none"/>
        </w:rPr>
      </w:pPr>
      <w:r>
        <w:rPr>
          <w:rFonts w:hint="eastAsia" w:ascii="仿宋" w:hAnsi="仿宋" w:eastAsia="仿宋" w:cs="仿宋"/>
          <w:b w:val="0"/>
          <w:bCs/>
          <w:snapToGrid w:val="0"/>
          <w:color w:val="auto"/>
          <w:spacing w:val="6"/>
          <w:kern w:val="0"/>
          <w:sz w:val="24"/>
          <w:szCs w:val="24"/>
          <w:highlight w:val="none"/>
          <w:lang w:eastAsia="zh-CN"/>
        </w:rPr>
        <w:t>（</w:t>
      </w:r>
      <w:r>
        <w:rPr>
          <w:rFonts w:hint="eastAsia" w:ascii="仿宋" w:hAnsi="仿宋" w:eastAsia="仿宋" w:cs="仿宋"/>
          <w:b w:val="0"/>
          <w:bCs/>
          <w:snapToGrid w:val="0"/>
          <w:color w:val="auto"/>
          <w:spacing w:val="6"/>
          <w:kern w:val="0"/>
          <w:sz w:val="24"/>
          <w:szCs w:val="24"/>
          <w:highlight w:val="none"/>
          <w:lang w:val="en-US" w:eastAsia="zh-CN"/>
        </w:rPr>
        <w:t>3</w:t>
      </w:r>
      <w:r>
        <w:rPr>
          <w:rFonts w:hint="eastAsia" w:ascii="仿宋" w:hAnsi="仿宋" w:eastAsia="仿宋" w:cs="仿宋"/>
          <w:b w:val="0"/>
          <w:bCs/>
          <w:snapToGrid w:val="0"/>
          <w:color w:val="auto"/>
          <w:spacing w:val="6"/>
          <w:kern w:val="0"/>
          <w:sz w:val="24"/>
          <w:szCs w:val="24"/>
          <w:highlight w:val="none"/>
          <w:lang w:eastAsia="zh-CN"/>
        </w:rPr>
        <w:t>）</w:t>
      </w:r>
      <w:r>
        <w:rPr>
          <w:rFonts w:hint="default" w:ascii="仿宋" w:hAnsi="仿宋" w:eastAsia="仿宋" w:cs="仿宋"/>
          <w:b w:val="0"/>
          <w:bCs/>
          <w:snapToGrid w:val="0"/>
          <w:color w:val="auto"/>
          <w:spacing w:val="6"/>
          <w:kern w:val="0"/>
          <w:sz w:val="24"/>
          <w:szCs w:val="24"/>
          <w:highlight w:val="none"/>
        </w:rPr>
        <w:t>目标愿景方面，本行力争到“十五五”末，绿色信贷规模实现稳步增长，绿色贷款占比持续提升，绿色金融产品体系更加丰富完善，自身运营碳足迹显著降低，成为扬州地区绿色金融的标杆银行，以金融力量守护扬州的“绿水青山”，为实现“富强美好城乡，筑梦扬州金融”的企业使命和“双碳”国家战略贡献坚实的农商力量。</w:t>
      </w:r>
    </w:p>
    <w:p>
      <w:pPr>
        <w:pStyle w:val="2"/>
        <w:keepNext w:val="0"/>
        <w:keepLines w:val="0"/>
        <w:pageBreakBefore w:val="0"/>
        <w:widowControl w:val="0"/>
        <w:kinsoku/>
        <w:wordWrap/>
        <w:overflowPunct/>
        <w:topLinePunct w:val="0"/>
        <w:autoSpaceDE/>
        <w:autoSpaceDN/>
        <w:bidi w:val="0"/>
        <w:adjustRightInd/>
        <w:snapToGrid/>
        <w:spacing w:after="0" w:line="240" w:lineRule="auto"/>
        <w:textAlignment w:val="auto"/>
        <w:rPr>
          <w:rFonts w:hint="eastAsia" w:ascii="仿宋" w:hAnsi="仿宋" w:eastAsia="仿宋" w:cs="仿宋"/>
          <w:b w:val="0"/>
          <w:bCs/>
          <w:snapToGrid w:val="0"/>
          <w:color w:val="auto"/>
          <w:spacing w:val="6"/>
          <w:kern w:val="0"/>
          <w:sz w:val="18"/>
          <w:szCs w:val="18"/>
          <w:lang w:val="en-US" w:eastAsia="zh-CN" w:bidi="ar-SA"/>
        </w:rPr>
      </w:pPr>
      <w:bookmarkStart w:id="6" w:name="_Toc16156"/>
    </w:p>
    <w:p>
      <w:pPr>
        <w:keepNext w:val="0"/>
        <w:keepLines w:val="0"/>
        <w:pageBreakBefore w:val="0"/>
        <w:widowControl/>
        <w:numPr>
          <w:ilvl w:val="0"/>
          <w:numId w:val="0"/>
        </w:numPr>
        <w:kinsoku/>
        <w:wordWrap/>
        <w:overflowPunct/>
        <w:topLinePunct w:val="0"/>
        <w:autoSpaceDE w:val="0"/>
        <w:autoSpaceDN w:val="0"/>
        <w:bidi w:val="0"/>
        <w:adjustRightInd w:val="0"/>
        <w:snapToGrid w:val="0"/>
        <w:spacing w:before="149" w:beforeLines="50" w:line="240" w:lineRule="auto"/>
        <w:ind w:left="0" w:leftChars="0" w:firstLine="0" w:firstLineChars="0"/>
        <w:textAlignment w:val="baseline"/>
        <w:outlineLvl w:val="0"/>
        <w:rPr>
          <w:rFonts w:hint="eastAsia" w:ascii="微软雅黑" w:hAnsi="微软雅黑" w:eastAsia="微软雅黑" w:cs="微软雅黑"/>
          <w:b w:val="0"/>
          <w:bCs/>
          <w:color w:val="000000" w:themeColor="text1"/>
          <w:kern w:val="2"/>
          <w:sz w:val="28"/>
          <w:szCs w:val="28"/>
          <w:lang w:val="en-US" w:eastAsia="zh-CN" w:bidi="ar-SA"/>
          <w14:textFill>
            <w14:solidFill>
              <w14:schemeClr w14:val="tx1"/>
            </w14:solidFill>
          </w14:textFill>
        </w:rPr>
      </w:pPr>
      <w:r>
        <w:rPr>
          <w:rFonts w:hint="eastAsia" w:ascii="微软雅黑" w:hAnsi="微软雅黑" w:eastAsia="微软雅黑" w:cs="微软雅黑"/>
          <w:b w:val="0"/>
          <w:bCs/>
          <w:color w:val="000000" w:themeColor="text1"/>
          <w:kern w:val="2"/>
          <w:sz w:val="28"/>
          <w:szCs w:val="28"/>
          <w:lang w:val="en-US" w:eastAsia="zh-CN" w:bidi="ar-SA"/>
          <w14:textFill>
            <w14:solidFill>
              <w14:schemeClr w14:val="tx1"/>
            </w14:solidFill>
          </w14:textFill>
        </w:rPr>
        <w:t>2.2 环境相关战略和行动计划</w:t>
      </w:r>
      <w:bookmarkEnd w:id="6"/>
    </w:p>
    <w:p>
      <w:pPr>
        <w:keepNext w:val="0"/>
        <w:keepLines w:val="0"/>
        <w:pageBreakBefore w:val="0"/>
        <w:widowControl/>
        <w:kinsoku/>
        <w:wordWrap/>
        <w:overflowPunct/>
        <w:topLinePunct w:val="0"/>
        <w:autoSpaceDE w:val="0"/>
        <w:autoSpaceDN w:val="0"/>
        <w:bidi w:val="0"/>
        <w:adjustRightInd w:val="0"/>
        <w:snapToGrid w:val="0"/>
        <w:spacing w:before="149" w:beforeLines="50" w:line="240" w:lineRule="auto"/>
        <w:ind w:firstLine="480" w:firstLineChars="200"/>
        <w:textAlignment w:val="baseline"/>
        <w:outlineLvl w:val="2"/>
        <w:rPr>
          <w:rFonts w:hint="eastAsia" w:ascii="微软雅黑" w:hAnsi="微软雅黑" w:eastAsia="微软雅黑" w:cs="微软雅黑"/>
          <w:b w:val="0"/>
          <w:bCs/>
          <w:color w:val="000000" w:themeColor="text1"/>
          <w:kern w:val="2"/>
          <w:sz w:val="24"/>
          <w:szCs w:val="24"/>
          <w:lang w:val="en-US" w:eastAsia="zh-CN" w:bidi="ar-SA"/>
          <w14:textFill>
            <w14:solidFill>
              <w14:schemeClr w14:val="tx1"/>
            </w14:solidFill>
          </w14:textFill>
        </w:rPr>
      </w:pPr>
      <w:r>
        <w:rPr>
          <w:rFonts w:hint="eastAsia" w:ascii="微软雅黑" w:hAnsi="微软雅黑" w:eastAsia="微软雅黑" w:cs="微软雅黑"/>
          <w:b w:val="0"/>
          <w:bCs/>
          <w:color w:val="000000" w:themeColor="text1"/>
          <w:kern w:val="2"/>
          <w:sz w:val="24"/>
          <w:szCs w:val="24"/>
          <w:lang w:val="en-US" w:eastAsia="zh-CN" w:bidi="ar-SA"/>
          <w14:textFill>
            <w14:solidFill>
              <w14:schemeClr w14:val="tx1"/>
            </w14:solidFill>
          </w14:textFill>
        </w:rPr>
        <w:t>2.2.1环境相关战略</w:t>
      </w:r>
    </w:p>
    <w:p>
      <w:pPr>
        <w:keepNext w:val="0"/>
        <w:keepLines w:val="0"/>
        <w:pageBreakBefore w:val="0"/>
        <w:widowControl/>
        <w:kinsoku/>
        <w:wordWrap/>
        <w:overflowPunct/>
        <w:topLinePunct w:val="0"/>
        <w:autoSpaceDE w:val="0"/>
        <w:autoSpaceDN w:val="0"/>
        <w:bidi w:val="0"/>
        <w:adjustRightInd w:val="0"/>
        <w:snapToGrid w:val="0"/>
        <w:spacing w:before="217" w:beforeLines="50" w:line="240" w:lineRule="auto"/>
        <w:ind w:firstLine="504"/>
        <w:textAlignment w:val="baseline"/>
        <w:rPr>
          <w:rFonts w:hint="default" w:ascii="仿宋" w:hAnsi="仿宋" w:eastAsia="仿宋" w:cs="仿宋"/>
          <w:b w:val="0"/>
          <w:bCs/>
          <w:snapToGrid w:val="0"/>
          <w:color w:val="auto"/>
          <w:spacing w:val="6"/>
          <w:kern w:val="0"/>
          <w:sz w:val="24"/>
          <w:szCs w:val="24"/>
          <w:highlight w:val="none"/>
        </w:rPr>
      </w:pPr>
      <w:r>
        <w:rPr>
          <w:rFonts w:hint="default" w:ascii="仿宋" w:hAnsi="仿宋" w:eastAsia="仿宋" w:cs="仿宋"/>
          <w:b w:val="0"/>
          <w:bCs/>
          <w:snapToGrid w:val="0"/>
          <w:color w:val="auto"/>
          <w:spacing w:val="6"/>
          <w:kern w:val="0"/>
          <w:sz w:val="24"/>
          <w:szCs w:val="24"/>
          <w:highlight w:val="none"/>
        </w:rPr>
        <w:t>扬州农商银行紧紧围绕“双碳”目标和“两山”理念，构建了“战略—组织—机制”三位一体的绿色金融发展框架，将绿色发展融入战略规划、业务运营与内部管理。在顶层设计上，董事会下设绿色金融委员会，制定并实施《绿色金融发展三年规划》及《绿色信贷授信政策指引》，明确每年绿色贷款增速不低于20%的硬性发展目标，并将绿色金融纳入公司治理和年度综合考核，与机构、人员绩效直接挂钩。在组织保障上，前台部门下设绿色金融事业部，配备专职管理团队，负责制度设计、产品研发与风险管控。2026年1月，本行在杭集特色支行成立牙刷绿色金融实验室，以“绿色赋能、创新驱动、产业共生”为核心定位，聚焦地方特色产业绿色转型，打造集产品研发、政策研究、技术支撑、服务落地于一体的专业化平台。在信贷投向上，结合扬州地方经济特征，明确绿色农村农业、绿色制造、绿色水资源治理、绿色生态城市建设四大重点支持方向，将节能环保作为客户评级、信贷准入、授信管理及业务退出的重要依据，引导信贷资源向节能环保、清洁能源、绿色交通、绿色建筑等低碳领域倾斜。在运营层面，致力于打造数智化绿色银行，通过流程线上化改造降低资源消耗，严格落实绿色低碳办公措施。</w:t>
      </w:r>
    </w:p>
    <w:p>
      <w:pPr>
        <w:keepNext w:val="0"/>
        <w:keepLines w:val="0"/>
        <w:pageBreakBefore w:val="0"/>
        <w:widowControl/>
        <w:kinsoku/>
        <w:wordWrap/>
        <w:overflowPunct/>
        <w:topLinePunct w:val="0"/>
        <w:autoSpaceDE w:val="0"/>
        <w:autoSpaceDN w:val="0"/>
        <w:bidi w:val="0"/>
        <w:adjustRightInd w:val="0"/>
        <w:snapToGrid w:val="0"/>
        <w:spacing w:before="149" w:beforeLines="50" w:line="240" w:lineRule="auto"/>
        <w:ind w:firstLine="480" w:firstLineChars="200"/>
        <w:textAlignment w:val="baseline"/>
        <w:outlineLvl w:val="2"/>
        <w:rPr>
          <w:rFonts w:hint="eastAsia" w:ascii="微软雅黑" w:hAnsi="微软雅黑" w:eastAsia="微软雅黑" w:cs="微软雅黑"/>
          <w:b w:val="0"/>
          <w:bCs/>
          <w:color w:val="000000" w:themeColor="text1"/>
          <w:kern w:val="2"/>
          <w:sz w:val="24"/>
          <w:szCs w:val="24"/>
          <w:lang w:val="en-US" w:eastAsia="zh-CN" w:bidi="ar-SA"/>
          <w14:textFill>
            <w14:solidFill>
              <w14:schemeClr w14:val="tx1"/>
            </w14:solidFill>
          </w14:textFill>
        </w:rPr>
      </w:pPr>
      <w:r>
        <w:rPr>
          <w:rFonts w:hint="eastAsia" w:ascii="微软雅黑" w:hAnsi="微软雅黑" w:eastAsia="微软雅黑" w:cs="微软雅黑"/>
          <w:b w:val="0"/>
          <w:bCs/>
          <w:color w:val="000000" w:themeColor="text1"/>
          <w:kern w:val="2"/>
          <w:sz w:val="24"/>
          <w:szCs w:val="24"/>
          <w:lang w:val="en-US" w:eastAsia="zh-CN" w:bidi="ar-SA"/>
          <w14:textFill>
            <w14:solidFill>
              <w14:schemeClr w14:val="tx1"/>
            </w14:solidFill>
          </w14:textFill>
        </w:rPr>
        <w:t>2.2.2行动计划</w:t>
      </w:r>
    </w:p>
    <w:p>
      <w:pPr>
        <w:keepNext w:val="0"/>
        <w:keepLines w:val="0"/>
        <w:pageBreakBefore w:val="0"/>
        <w:widowControl/>
        <w:kinsoku/>
        <w:wordWrap/>
        <w:overflowPunct/>
        <w:topLinePunct w:val="0"/>
        <w:autoSpaceDE w:val="0"/>
        <w:autoSpaceDN w:val="0"/>
        <w:bidi w:val="0"/>
        <w:adjustRightInd w:val="0"/>
        <w:snapToGrid w:val="0"/>
        <w:spacing w:before="217" w:beforeLines="50" w:line="240" w:lineRule="auto"/>
        <w:ind w:firstLine="504"/>
        <w:textAlignment w:val="baseline"/>
        <w:rPr>
          <w:rFonts w:hint="default" w:ascii="仿宋" w:hAnsi="仿宋" w:eastAsia="仿宋" w:cs="仿宋"/>
          <w:b w:val="0"/>
          <w:bCs/>
          <w:snapToGrid w:val="0"/>
          <w:color w:val="auto"/>
          <w:spacing w:val="6"/>
          <w:kern w:val="0"/>
          <w:sz w:val="24"/>
          <w:szCs w:val="24"/>
          <w:highlight w:val="none"/>
        </w:rPr>
      </w:pPr>
      <w:r>
        <w:rPr>
          <w:rFonts w:hint="eastAsia" w:ascii="仿宋" w:hAnsi="仿宋" w:eastAsia="仿宋" w:cs="仿宋"/>
          <w:b w:val="0"/>
          <w:bCs/>
          <w:snapToGrid w:val="0"/>
          <w:color w:val="auto"/>
          <w:spacing w:val="6"/>
          <w:kern w:val="0"/>
          <w:sz w:val="24"/>
          <w:szCs w:val="24"/>
          <w:highlight w:val="none"/>
          <w:lang w:eastAsia="zh-CN"/>
        </w:rPr>
        <w:t>（</w:t>
      </w:r>
      <w:r>
        <w:rPr>
          <w:rFonts w:hint="eastAsia" w:ascii="仿宋" w:hAnsi="仿宋" w:eastAsia="仿宋" w:cs="仿宋"/>
          <w:b w:val="0"/>
          <w:bCs/>
          <w:snapToGrid w:val="0"/>
          <w:color w:val="auto"/>
          <w:spacing w:val="6"/>
          <w:kern w:val="0"/>
          <w:sz w:val="24"/>
          <w:szCs w:val="24"/>
          <w:highlight w:val="none"/>
          <w:lang w:val="en-US" w:eastAsia="zh-CN"/>
        </w:rPr>
        <w:t>1</w:t>
      </w:r>
      <w:r>
        <w:rPr>
          <w:rFonts w:hint="eastAsia" w:ascii="仿宋" w:hAnsi="仿宋" w:eastAsia="仿宋" w:cs="仿宋"/>
          <w:b w:val="0"/>
          <w:bCs/>
          <w:snapToGrid w:val="0"/>
          <w:color w:val="auto"/>
          <w:spacing w:val="6"/>
          <w:kern w:val="0"/>
          <w:sz w:val="24"/>
          <w:szCs w:val="24"/>
          <w:highlight w:val="none"/>
          <w:lang w:eastAsia="zh-CN"/>
        </w:rPr>
        <w:t>）</w:t>
      </w:r>
      <w:r>
        <w:rPr>
          <w:rFonts w:hint="default" w:ascii="仿宋" w:hAnsi="仿宋" w:eastAsia="仿宋" w:cs="仿宋"/>
          <w:b w:val="0"/>
          <w:bCs/>
          <w:snapToGrid w:val="0"/>
          <w:color w:val="auto"/>
          <w:spacing w:val="6"/>
          <w:kern w:val="0"/>
          <w:sz w:val="24"/>
          <w:szCs w:val="24"/>
          <w:highlight w:val="none"/>
        </w:rPr>
        <w:t>完善制度体系，为绿色金融产品创新建立完整授信指引，以政策、制度、标准及差别化产品引导客户经理优化存量贷款、发展绿色信贷，同时针对存量客户贴合实际创新产品和模式，迭代改善客户结构。</w:t>
      </w:r>
    </w:p>
    <w:p>
      <w:pPr>
        <w:keepNext w:val="0"/>
        <w:keepLines w:val="0"/>
        <w:pageBreakBefore w:val="0"/>
        <w:widowControl/>
        <w:kinsoku/>
        <w:wordWrap/>
        <w:overflowPunct/>
        <w:topLinePunct w:val="0"/>
        <w:autoSpaceDE w:val="0"/>
        <w:autoSpaceDN w:val="0"/>
        <w:bidi w:val="0"/>
        <w:adjustRightInd w:val="0"/>
        <w:snapToGrid w:val="0"/>
        <w:spacing w:before="217" w:beforeLines="50" w:line="240" w:lineRule="auto"/>
        <w:ind w:firstLine="504"/>
        <w:textAlignment w:val="baseline"/>
        <w:rPr>
          <w:rFonts w:hint="default" w:ascii="仿宋" w:hAnsi="仿宋" w:eastAsia="仿宋" w:cs="仿宋"/>
          <w:b w:val="0"/>
          <w:bCs/>
          <w:snapToGrid w:val="0"/>
          <w:color w:val="auto"/>
          <w:spacing w:val="6"/>
          <w:kern w:val="0"/>
          <w:sz w:val="24"/>
          <w:szCs w:val="24"/>
          <w:highlight w:val="none"/>
        </w:rPr>
      </w:pPr>
      <w:r>
        <w:rPr>
          <w:rFonts w:hint="eastAsia" w:ascii="仿宋" w:hAnsi="仿宋" w:eastAsia="仿宋" w:cs="仿宋"/>
          <w:b w:val="0"/>
          <w:bCs/>
          <w:snapToGrid w:val="0"/>
          <w:color w:val="auto"/>
          <w:spacing w:val="6"/>
          <w:kern w:val="0"/>
          <w:sz w:val="24"/>
          <w:szCs w:val="24"/>
          <w:highlight w:val="none"/>
          <w:lang w:eastAsia="zh-CN"/>
        </w:rPr>
        <w:t>（</w:t>
      </w:r>
      <w:r>
        <w:rPr>
          <w:rFonts w:hint="eastAsia" w:ascii="仿宋" w:hAnsi="仿宋" w:eastAsia="仿宋" w:cs="仿宋"/>
          <w:b w:val="0"/>
          <w:bCs/>
          <w:snapToGrid w:val="0"/>
          <w:color w:val="auto"/>
          <w:spacing w:val="6"/>
          <w:kern w:val="0"/>
          <w:sz w:val="24"/>
          <w:szCs w:val="24"/>
          <w:highlight w:val="none"/>
          <w:lang w:val="en-US" w:eastAsia="zh-CN"/>
        </w:rPr>
        <w:t>2</w:t>
      </w:r>
      <w:r>
        <w:rPr>
          <w:rFonts w:hint="eastAsia" w:ascii="仿宋" w:hAnsi="仿宋" w:eastAsia="仿宋" w:cs="仿宋"/>
          <w:b w:val="0"/>
          <w:bCs/>
          <w:snapToGrid w:val="0"/>
          <w:color w:val="auto"/>
          <w:spacing w:val="6"/>
          <w:kern w:val="0"/>
          <w:sz w:val="24"/>
          <w:szCs w:val="24"/>
          <w:highlight w:val="none"/>
          <w:lang w:eastAsia="zh-CN"/>
        </w:rPr>
        <w:t>）</w:t>
      </w:r>
      <w:r>
        <w:rPr>
          <w:rFonts w:hint="default" w:ascii="仿宋" w:hAnsi="仿宋" w:eastAsia="仿宋" w:cs="仿宋"/>
          <w:b w:val="0"/>
          <w:bCs/>
          <w:snapToGrid w:val="0"/>
          <w:color w:val="auto"/>
          <w:spacing w:val="6"/>
          <w:kern w:val="0"/>
          <w:sz w:val="24"/>
          <w:szCs w:val="24"/>
          <w:highlight w:val="none"/>
        </w:rPr>
        <w:t>创新产品体系，推出“光伏创收贷”“环保贷”“排污权抵押贷”等特色产品，其中“光伏创收贷”上线一年多累计发放36笔、3995万元，并拓展专利权质押、贸易融资等多元化担保方式，加强与政策性融资担保公司合作，逐步推出“园区保”“苏科贷”“苏碳融”等创新产品。</w:t>
      </w:r>
    </w:p>
    <w:p>
      <w:pPr>
        <w:keepNext w:val="0"/>
        <w:keepLines w:val="0"/>
        <w:pageBreakBefore w:val="0"/>
        <w:widowControl/>
        <w:kinsoku/>
        <w:wordWrap/>
        <w:overflowPunct/>
        <w:topLinePunct w:val="0"/>
        <w:autoSpaceDE w:val="0"/>
        <w:autoSpaceDN w:val="0"/>
        <w:bidi w:val="0"/>
        <w:adjustRightInd w:val="0"/>
        <w:snapToGrid w:val="0"/>
        <w:spacing w:before="217" w:beforeLines="50" w:line="240" w:lineRule="auto"/>
        <w:ind w:firstLine="504"/>
        <w:textAlignment w:val="baseline"/>
        <w:rPr>
          <w:rFonts w:hint="default" w:ascii="仿宋" w:hAnsi="仿宋" w:eastAsia="仿宋" w:cs="仿宋"/>
          <w:b w:val="0"/>
          <w:bCs/>
          <w:snapToGrid w:val="0"/>
          <w:color w:val="auto"/>
          <w:spacing w:val="6"/>
          <w:kern w:val="0"/>
          <w:sz w:val="24"/>
          <w:szCs w:val="24"/>
          <w:highlight w:val="none"/>
        </w:rPr>
      </w:pPr>
      <w:r>
        <w:rPr>
          <w:rFonts w:hint="eastAsia" w:ascii="仿宋" w:hAnsi="仿宋" w:eastAsia="仿宋" w:cs="仿宋"/>
          <w:b w:val="0"/>
          <w:bCs/>
          <w:snapToGrid w:val="0"/>
          <w:color w:val="auto"/>
          <w:spacing w:val="6"/>
          <w:kern w:val="0"/>
          <w:sz w:val="24"/>
          <w:szCs w:val="24"/>
          <w:highlight w:val="none"/>
          <w:lang w:eastAsia="zh-CN"/>
        </w:rPr>
        <w:t>（</w:t>
      </w:r>
      <w:r>
        <w:rPr>
          <w:rFonts w:hint="eastAsia" w:ascii="仿宋" w:hAnsi="仿宋" w:eastAsia="仿宋" w:cs="仿宋"/>
          <w:b w:val="0"/>
          <w:bCs/>
          <w:snapToGrid w:val="0"/>
          <w:color w:val="auto"/>
          <w:spacing w:val="6"/>
          <w:kern w:val="0"/>
          <w:sz w:val="24"/>
          <w:szCs w:val="24"/>
          <w:highlight w:val="none"/>
          <w:lang w:val="en-US" w:eastAsia="zh-CN"/>
        </w:rPr>
        <w:t>3</w:t>
      </w:r>
      <w:r>
        <w:rPr>
          <w:rFonts w:hint="eastAsia" w:ascii="仿宋" w:hAnsi="仿宋" w:eastAsia="仿宋" w:cs="仿宋"/>
          <w:b w:val="0"/>
          <w:bCs/>
          <w:snapToGrid w:val="0"/>
          <w:color w:val="auto"/>
          <w:spacing w:val="6"/>
          <w:kern w:val="0"/>
          <w:sz w:val="24"/>
          <w:szCs w:val="24"/>
          <w:highlight w:val="none"/>
          <w:lang w:eastAsia="zh-CN"/>
        </w:rPr>
        <w:t>）</w:t>
      </w:r>
      <w:r>
        <w:rPr>
          <w:rFonts w:hint="default" w:ascii="仿宋" w:hAnsi="仿宋" w:eastAsia="仿宋" w:cs="仿宋"/>
          <w:b w:val="0"/>
          <w:bCs/>
          <w:snapToGrid w:val="0"/>
          <w:color w:val="auto"/>
          <w:spacing w:val="6"/>
          <w:kern w:val="0"/>
          <w:sz w:val="24"/>
          <w:szCs w:val="24"/>
          <w:highlight w:val="none"/>
        </w:rPr>
        <w:t>加强银政合作，与政府部门开展合作，借助专家力量和扶持资金创新能效融资产品，及时跟进落实绿色信贷政策。</w:t>
      </w:r>
    </w:p>
    <w:p>
      <w:pPr>
        <w:keepNext w:val="0"/>
        <w:keepLines w:val="0"/>
        <w:pageBreakBefore w:val="0"/>
        <w:widowControl/>
        <w:kinsoku/>
        <w:wordWrap/>
        <w:overflowPunct/>
        <w:topLinePunct w:val="0"/>
        <w:autoSpaceDE w:val="0"/>
        <w:autoSpaceDN w:val="0"/>
        <w:bidi w:val="0"/>
        <w:adjustRightInd w:val="0"/>
        <w:snapToGrid w:val="0"/>
        <w:spacing w:before="217" w:beforeLines="50" w:line="240" w:lineRule="auto"/>
        <w:ind w:firstLine="504"/>
        <w:textAlignment w:val="baseline"/>
        <w:rPr>
          <w:rFonts w:hint="default" w:ascii="仿宋" w:hAnsi="仿宋" w:eastAsia="仿宋" w:cs="仿宋"/>
          <w:b w:val="0"/>
          <w:bCs/>
          <w:snapToGrid w:val="0"/>
          <w:color w:val="auto"/>
          <w:spacing w:val="6"/>
          <w:kern w:val="0"/>
          <w:sz w:val="24"/>
          <w:szCs w:val="24"/>
          <w:highlight w:val="none"/>
        </w:rPr>
      </w:pPr>
      <w:r>
        <w:rPr>
          <w:rFonts w:hint="eastAsia" w:ascii="仿宋" w:hAnsi="仿宋" w:eastAsia="仿宋" w:cs="仿宋"/>
          <w:b w:val="0"/>
          <w:bCs/>
          <w:snapToGrid w:val="0"/>
          <w:color w:val="auto"/>
          <w:spacing w:val="6"/>
          <w:kern w:val="0"/>
          <w:sz w:val="24"/>
          <w:szCs w:val="24"/>
          <w:highlight w:val="none"/>
          <w:lang w:eastAsia="zh-CN"/>
        </w:rPr>
        <w:t>（</w:t>
      </w:r>
      <w:r>
        <w:rPr>
          <w:rFonts w:hint="eastAsia" w:ascii="仿宋" w:hAnsi="仿宋" w:eastAsia="仿宋" w:cs="仿宋"/>
          <w:b w:val="0"/>
          <w:bCs/>
          <w:snapToGrid w:val="0"/>
          <w:color w:val="auto"/>
          <w:spacing w:val="6"/>
          <w:kern w:val="0"/>
          <w:sz w:val="24"/>
          <w:szCs w:val="24"/>
          <w:highlight w:val="none"/>
          <w:lang w:val="en-US" w:eastAsia="zh-CN"/>
        </w:rPr>
        <w:t>4</w:t>
      </w:r>
      <w:r>
        <w:rPr>
          <w:rFonts w:hint="eastAsia" w:ascii="仿宋" w:hAnsi="仿宋" w:eastAsia="仿宋" w:cs="仿宋"/>
          <w:b w:val="0"/>
          <w:bCs/>
          <w:snapToGrid w:val="0"/>
          <w:color w:val="auto"/>
          <w:spacing w:val="6"/>
          <w:kern w:val="0"/>
          <w:sz w:val="24"/>
          <w:szCs w:val="24"/>
          <w:highlight w:val="none"/>
          <w:lang w:eastAsia="zh-CN"/>
        </w:rPr>
        <w:t>）</w:t>
      </w:r>
      <w:r>
        <w:rPr>
          <w:rFonts w:hint="default" w:ascii="仿宋" w:hAnsi="仿宋" w:eastAsia="仿宋" w:cs="仿宋"/>
          <w:b w:val="0"/>
          <w:bCs/>
          <w:snapToGrid w:val="0"/>
          <w:color w:val="auto"/>
          <w:spacing w:val="6"/>
          <w:kern w:val="0"/>
          <w:sz w:val="24"/>
          <w:szCs w:val="24"/>
          <w:highlight w:val="none"/>
        </w:rPr>
        <w:t>推进绿色运营，打造数智化运营管理体系，对管理全流程实施线上化、自动化、数据化改造；严格落实办公场所节能巡检、空调系统优化、公务用车科学调度、节能环保设备优先采购、线上视频会议推广等低碳举措，从源头杜绝能源浪费。</w:t>
      </w:r>
    </w:p>
    <w:p>
      <w:pPr>
        <w:keepNext w:val="0"/>
        <w:keepLines w:val="0"/>
        <w:pageBreakBefore w:val="0"/>
        <w:widowControl/>
        <w:kinsoku/>
        <w:wordWrap/>
        <w:overflowPunct/>
        <w:topLinePunct w:val="0"/>
        <w:autoSpaceDE w:val="0"/>
        <w:autoSpaceDN w:val="0"/>
        <w:bidi w:val="0"/>
        <w:adjustRightInd w:val="0"/>
        <w:snapToGrid w:val="0"/>
        <w:spacing w:before="217" w:beforeLines="50" w:line="240" w:lineRule="auto"/>
        <w:ind w:firstLine="504"/>
        <w:textAlignment w:val="baseline"/>
        <w:rPr>
          <w:rFonts w:hint="default" w:ascii="仿宋" w:hAnsi="仿宋" w:eastAsia="仿宋" w:cs="仿宋"/>
          <w:b w:val="0"/>
          <w:bCs/>
          <w:snapToGrid w:val="0"/>
          <w:color w:val="auto"/>
          <w:spacing w:val="6"/>
          <w:kern w:val="0"/>
          <w:sz w:val="24"/>
          <w:szCs w:val="24"/>
          <w:highlight w:val="none"/>
        </w:rPr>
      </w:pPr>
      <w:r>
        <w:rPr>
          <w:rFonts w:hint="eastAsia" w:ascii="仿宋" w:hAnsi="仿宋" w:eastAsia="仿宋" w:cs="仿宋"/>
          <w:b w:val="0"/>
          <w:bCs/>
          <w:snapToGrid w:val="0"/>
          <w:color w:val="auto"/>
          <w:spacing w:val="6"/>
          <w:kern w:val="0"/>
          <w:sz w:val="24"/>
          <w:szCs w:val="24"/>
          <w:highlight w:val="none"/>
          <w:lang w:eastAsia="zh-CN"/>
        </w:rPr>
        <w:t>（</w:t>
      </w:r>
      <w:r>
        <w:rPr>
          <w:rFonts w:hint="eastAsia" w:ascii="仿宋" w:hAnsi="仿宋" w:eastAsia="仿宋" w:cs="仿宋"/>
          <w:b w:val="0"/>
          <w:bCs/>
          <w:snapToGrid w:val="0"/>
          <w:color w:val="auto"/>
          <w:spacing w:val="6"/>
          <w:kern w:val="0"/>
          <w:sz w:val="24"/>
          <w:szCs w:val="24"/>
          <w:highlight w:val="none"/>
          <w:lang w:val="en-US" w:eastAsia="zh-CN"/>
        </w:rPr>
        <w:t>5</w:t>
      </w:r>
      <w:r>
        <w:rPr>
          <w:rFonts w:hint="eastAsia" w:ascii="仿宋" w:hAnsi="仿宋" w:eastAsia="仿宋" w:cs="仿宋"/>
          <w:b w:val="0"/>
          <w:bCs/>
          <w:snapToGrid w:val="0"/>
          <w:color w:val="auto"/>
          <w:spacing w:val="6"/>
          <w:kern w:val="0"/>
          <w:sz w:val="24"/>
          <w:szCs w:val="24"/>
          <w:highlight w:val="none"/>
          <w:lang w:eastAsia="zh-CN"/>
        </w:rPr>
        <w:t>）</w:t>
      </w:r>
      <w:r>
        <w:rPr>
          <w:rFonts w:hint="default" w:ascii="仿宋" w:hAnsi="仿宋" w:eastAsia="仿宋" w:cs="仿宋"/>
          <w:b w:val="0"/>
          <w:bCs/>
          <w:snapToGrid w:val="0"/>
          <w:color w:val="auto"/>
          <w:spacing w:val="6"/>
          <w:kern w:val="0"/>
          <w:sz w:val="24"/>
          <w:szCs w:val="24"/>
          <w:highlight w:val="none"/>
        </w:rPr>
        <w:t>强化风险管控，实行差别化、动态化管理，将绿色信贷纳入尽职免责范围，适当提高不良容忍度。六是运用金融科技手段，在客户服务、流程管理、风险管理、信息披露等方面进行技术创新，提升绿色金融专业能力。</w:t>
      </w:r>
    </w:p>
    <w:p>
      <w:pPr>
        <w:keepNext w:val="0"/>
        <w:keepLines w:val="0"/>
        <w:pageBreakBefore w:val="0"/>
        <w:widowControl/>
        <w:kinsoku/>
        <w:wordWrap/>
        <w:overflowPunct/>
        <w:topLinePunct w:val="0"/>
        <w:autoSpaceDE w:val="0"/>
        <w:autoSpaceDN w:val="0"/>
        <w:bidi w:val="0"/>
        <w:adjustRightInd w:val="0"/>
        <w:snapToGrid w:val="0"/>
        <w:spacing w:before="217" w:beforeLines="50" w:line="240" w:lineRule="auto"/>
        <w:ind w:firstLine="504"/>
        <w:textAlignment w:val="baseline"/>
        <w:rPr>
          <w:rFonts w:hint="default" w:ascii="仿宋" w:hAnsi="仿宋" w:eastAsia="仿宋" w:cs="仿宋"/>
          <w:b w:val="0"/>
          <w:bCs/>
          <w:snapToGrid w:val="0"/>
          <w:color w:val="auto"/>
          <w:spacing w:val="6"/>
          <w:kern w:val="0"/>
          <w:sz w:val="24"/>
          <w:szCs w:val="24"/>
          <w:highlight w:val="none"/>
          <w:lang w:val="en-US" w:eastAsia="zh-CN"/>
        </w:rPr>
      </w:pPr>
      <w:r>
        <w:rPr>
          <w:rFonts w:hint="default" w:ascii="仿宋" w:hAnsi="仿宋" w:eastAsia="仿宋" w:cs="仿宋"/>
          <w:b w:val="0"/>
          <w:bCs/>
          <w:snapToGrid w:val="0"/>
          <w:color w:val="auto"/>
          <w:spacing w:val="6"/>
          <w:kern w:val="0"/>
          <w:sz w:val="24"/>
          <w:szCs w:val="24"/>
          <w:highlight w:val="none"/>
        </w:rPr>
        <w:t>通过上述行动，本行在环保、清洁能源、绿色交通、绿色建筑等领域持续拓展新型业务，全面优化信贷结构，切实以金融力量守护扬州的“绿水青山”。</w:t>
      </w:r>
    </w:p>
    <w:p>
      <w:pPr>
        <w:pStyle w:val="2"/>
        <w:keepNext w:val="0"/>
        <w:keepLines w:val="0"/>
        <w:pageBreakBefore w:val="0"/>
        <w:widowControl w:val="0"/>
        <w:kinsoku/>
        <w:wordWrap/>
        <w:overflowPunct/>
        <w:topLinePunct w:val="0"/>
        <w:autoSpaceDE/>
        <w:autoSpaceDN/>
        <w:bidi w:val="0"/>
        <w:adjustRightInd/>
        <w:snapToGrid/>
        <w:spacing w:after="0" w:line="240" w:lineRule="auto"/>
        <w:textAlignment w:val="auto"/>
        <w:rPr>
          <w:rFonts w:hint="eastAsia" w:ascii="仿宋" w:hAnsi="仿宋" w:eastAsia="仿宋" w:cs="仿宋"/>
          <w:b w:val="0"/>
          <w:bCs/>
          <w:snapToGrid w:val="0"/>
          <w:color w:val="auto"/>
          <w:spacing w:val="6"/>
          <w:kern w:val="0"/>
          <w:sz w:val="18"/>
          <w:szCs w:val="18"/>
          <w:lang w:val="en-US" w:eastAsia="zh-CN" w:bidi="ar-SA"/>
        </w:rPr>
      </w:pPr>
      <w:bookmarkStart w:id="7" w:name="_Toc1273"/>
    </w:p>
    <w:p>
      <w:pPr>
        <w:keepNext w:val="0"/>
        <w:keepLines w:val="0"/>
        <w:pageBreakBefore w:val="0"/>
        <w:widowControl/>
        <w:numPr>
          <w:ilvl w:val="0"/>
          <w:numId w:val="0"/>
        </w:numPr>
        <w:kinsoku/>
        <w:wordWrap/>
        <w:overflowPunct/>
        <w:topLinePunct w:val="0"/>
        <w:autoSpaceDE w:val="0"/>
        <w:autoSpaceDN w:val="0"/>
        <w:bidi w:val="0"/>
        <w:adjustRightInd w:val="0"/>
        <w:snapToGrid w:val="0"/>
        <w:spacing w:before="149" w:beforeLines="50" w:line="240" w:lineRule="auto"/>
        <w:ind w:left="0" w:leftChars="0" w:firstLine="0" w:firstLineChars="0"/>
        <w:textAlignment w:val="baseline"/>
        <w:outlineLvl w:val="0"/>
        <w:rPr>
          <w:rFonts w:hint="eastAsia" w:ascii="微软雅黑" w:hAnsi="微软雅黑" w:eastAsia="微软雅黑" w:cs="微软雅黑"/>
          <w:b w:val="0"/>
          <w:bCs/>
          <w:color w:val="000000" w:themeColor="text1"/>
          <w:kern w:val="2"/>
          <w:sz w:val="28"/>
          <w:szCs w:val="28"/>
          <w:lang w:val="en-US" w:eastAsia="zh-CN" w:bidi="ar-SA"/>
          <w14:textFill>
            <w14:solidFill>
              <w14:schemeClr w14:val="tx1"/>
            </w14:solidFill>
          </w14:textFill>
        </w:rPr>
      </w:pPr>
      <w:r>
        <w:rPr>
          <w:rFonts w:hint="eastAsia" w:ascii="微软雅黑" w:hAnsi="微软雅黑" w:eastAsia="微软雅黑" w:cs="微软雅黑"/>
          <w:b w:val="0"/>
          <w:bCs/>
          <w:color w:val="000000" w:themeColor="text1"/>
          <w:kern w:val="2"/>
          <w:sz w:val="28"/>
          <w:szCs w:val="28"/>
          <w:lang w:val="en-US" w:eastAsia="zh-CN" w:bidi="ar-SA"/>
          <w14:textFill>
            <w14:solidFill>
              <w14:schemeClr w14:val="tx1"/>
            </w14:solidFill>
          </w14:textFill>
        </w:rPr>
        <w:t>2.3 绿色金融工作亮点</w:t>
      </w:r>
      <w:bookmarkEnd w:id="7"/>
    </w:p>
    <w:p>
      <w:pPr>
        <w:keepNext w:val="0"/>
        <w:keepLines w:val="0"/>
        <w:pageBreakBefore w:val="0"/>
        <w:widowControl/>
        <w:kinsoku/>
        <w:wordWrap/>
        <w:overflowPunct/>
        <w:topLinePunct w:val="0"/>
        <w:autoSpaceDE w:val="0"/>
        <w:autoSpaceDN w:val="0"/>
        <w:bidi w:val="0"/>
        <w:adjustRightInd w:val="0"/>
        <w:snapToGrid w:val="0"/>
        <w:spacing w:before="217" w:beforeLines="50" w:line="240" w:lineRule="auto"/>
        <w:ind w:firstLine="504"/>
        <w:textAlignment w:val="baseline"/>
        <w:rPr>
          <w:rFonts w:hint="default" w:ascii="仿宋" w:hAnsi="仿宋" w:eastAsia="仿宋" w:cs="仿宋"/>
          <w:b w:val="0"/>
          <w:bCs/>
          <w:snapToGrid w:val="0"/>
          <w:color w:val="auto"/>
          <w:spacing w:val="6"/>
          <w:kern w:val="0"/>
          <w:sz w:val="24"/>
          <w:szCs w:val="24"/>
          <w:highlight w:val="none"/>
        </w:rPr>
      </w:pPr>
      <w:r>
        <w:rPr>
          <w:rFonts w:hint="eastAsia" w:ascii="仿宋" w:hAnsi="仿宋" w:eastAsia="仿宋" w:cs="仿宋"/>
          <w:b w:val="0"/>
          <w:bCs/>
          <w:snapToGrid w:val="0"/>
          <w:color w:val="auto"/>
          <w:spacing w:val="6"/>
          <w:kern w:val="0"/>
          <w:sz w:val="24"/>
          <w:szCs w:val="24"/>
          <w:highlight w:val="none"/>
          <w:lang w:eastAsia="zh-CN"/>
        </w:rPr>
        <w:t>（</w:t>
      </w:r>
      <w:r>
        <w:rPr>
          <w:rFonts w:hint="eastAsia" w:ascii="仿宋" w:hAnsi="仿宋" w:eastAsia="仿宋" w:cs="仿宋"/>
          <w:b w:val="0"/>
          <w:bCs/>
          <w:snapToGrid w:val="0"/>
          <w:color w:val="auto"/>
          <w:spacing w:val="6"/>
          <w:kern w:val="0"/>
          <w:sz w:val="24"/>
          <w:szCs w:val="24"/>
          <w:highlight w:val="none"/>
          <w:lang w:val="en-US" w:eastAsia="zh-CN"/>
        </w:rPr>
        <w:t>1</w:t>
      </w:r>
      <w:r>
        <w:rPr>
          <w:rFonts w:hint="eastAsia" w:ascii="仿宋" w:hAnsi="仿宋" w:eastAsia="仿宋" w:cs="仿宋"/>
          <w:b w:val="0"/>
          <w:bCs/>
          <w:snapToGrid w:val="0"/>
          <w:color w:val="auto"/>
          <w:spacing w:val="6"/>
          <w:kern w:val="0"/>
          <w:sz w:val="24"/>
          <w:szCs w:val="24"/>
          <w:highlight w:val="none"/>
          <w:lang w:eastAsia="zh-CN"/>
        </w:rPr>
        <w:t>）</w:t>
      </w:r>
      <w:r>
        <w:rPr>
          <w:rFonts w:hint="default" w:ascii="仿宋" w:hAnsi="仿宋" w:eastAsia="仿宋" w:cs="仿宋"/>
          <w:b w:val="0"/>
          <w:bCs/>
          <w:snapToGrid w:val="0"/>
          <w:color w:val="auto"/>
          <w:spacing w:val="6"/>
          <w:kern w:val="0"/>
          <w:sz w:val="24"/>
          <w:szCs w:val="24"/>
          <w:highlight w:val="none"/>
        </w:rPr>
        <w:t>顶层设计持续完善，战略地位显著提升。 本行构建了“战略—组织—机制”三位一体的绿色金融发展框架，在董事会下设绿色金融委员会，将绿色金融纳入公司治理顶层架构；制定并实施《绿色金融发展三年规划》及《绿色信贷授信政策指引》，明确每年绿色贷款增速不低于20%的硬性目标；在前台部门下设绿色金融事业部，配备专职管理团队；在年度综合考核中单列绿色金融专项指标，将考核结果与机构、人员绩效直接挂钩，形成有效的激励约束机制。</w:t>
      </w:r>
    </w:p>
    <w:p>
      <w:pPr>
        <w:keepNext w:val="0"/>
        <w:keepLines w:val="0"/>
        <w:pageBreakBefore w:val="0"/>
        <w:widowControl/>
        <w:kinsoku/>
        <w:wordWrap/>
        <w:overflowPunct/>
        <w:topLinePunct w:val="0"/>
        <w:autoSpaceDE w:val="0"/>
        <w:autoSpaceDN w:val="0"/>
        <w:bidi w:val="0"/>
        <w:adjustRightInd w:val="0"/>
        <w:snapToGrid w:val="0"/>
        <w:spacing w:before="217" w:beforeLines="50" w:line="240" w:lineRule="auto"/>
        <w:ind w:firstLine="504"/>
        <w:textAlignment w:val="baseline"/>
        <w:rPr>
          <w:rFonts w:hint="default" w:ascii="仿宋" w:hAnsi="仿宋" w:eastAsia="仿宋" w:cs="仿宋"/>
          <w:b w:val="0"/>
          <w:bCs/>
          <w:snapToGrid w:val="0"/>
          <w:color w:val="auto"/>
          <w:spacing w:val="6"/>
          <w:kern w:val="0"/>
          <w:sz w:val="24"/>
          <w:szCs w:val="24"/>
          <w:highlight w:val="none"/>
        </w:rPr>
      </w:pPr>
      <w:r>
        <w:rPr>
          <w:rFonts w:hint="eastAsia" w:ascii="仿宋" w:hAnsi="仿宋" w:eastAsia="仿宋" w:cs="仿宋"/>
          <w:b w:val="0"/>
          <w:bCs/>
          <w:snapToGrid w:val="0"/>
          <w:color w:val="auto"/>
          <w:spacing w:val="6"/>
          <w:kern w:val="0"/>
          <w:sz w:val="24"/>
          <w:szCs w:val="24"/>
          <w:highlight w:val="none"/>
          <w:lang w:eastAsia="zh-CN"/>
        </w:rPr>
        <w:t>（</w:t>
      </w:r>
      <w:r>
        <w:rPr>
          <w:rFonts w:hint="eastAsia" w:ascii="仿宋" w:hAnsi="仿宋" w:eastAsia="仿宋" w:cs="仿宋"/>
          <w:b w:val="0"/>
          <w:bCs/>
          <w:snapToGrid w:val="0"/>
          <w:color w:val="auto"/>
          <w:spacing w:val="6"/>
          <w:kern w:val="0"/>
          <w:sz w:val="24"/>
          <w:szCs w:val="24"/>
          <w:highlight w:val="none"/>
          <w:lang w:val="en-US" w:eastAsia="zh-CN"/>
        </w:rPr>
        <w:t>2</w:t>
      </w:r>
      <w:r>
        <w:rPr>
          <w:rFonts w:hint="eastAsia" w:ascii="仿宋" w:hAnsi="仿宋" w:eastAsia="仿宋" w:cs="仿宋"/>
          <w:b w:val="0"/>
          <w:bCs/>
          <w:snapToGrid w:val="0"/>
          <w:color w:val="auto"/>
          <w:spacing w:val="6"/>
          <w:kern w:val="0"/>
          <w:sz w:val="24"/>
          <w:szCs w:val="24"/>
          <w:highlight w:val="none"/>
          <w:lang w:eastAsia="zh-CN"/>
        </w:rPr>
        <w:t>）</w:t>
      </w:r>
      <w:r>
        <w:rPr>
          <w:rFonts w:hint="default" w:ascii="仿宋" w:hAnsi="仿宋" w:eastAsia="仿宋" w:cs="仿宋"/>
          <w:b w:val="0"/>
          <w:bCs/>
          <w:snapToGrid w:val="0"/>
          <w:color w:val="auto"/>
          <w:spacing w:val="6"/>
          <w:kern w:val="0"/>
          <w:sz w:val="24"/>
          <w:szCs w:val="24"/>
          <w:highlight w:val="none"/>
        </w:rPr>
        <w:t>绿色信贷快速增长，资产质量保持优良。 截至2025年末，本行绿色信贷余额达16.37亿元，较年初增长4.49亿元，增幅达37.79%，远超各项贷款平均增速，且绿色信贷不良贷款率为零，实现规模与质量的双重突破，充分彰显了绿色金融业务的可持续发展能力。</w:t>
      </w:r>
    </w:p>
    <w:p>
      <w:pPr>
        <w:keepNext w:val="0"/>
        <w:keepLines w:val="0"/>
        <w:pageBreakBefore w:val="0"/>
        <w:widowControl/>
        <w:kinsoku/>
        <w:wordWrap/>
        <w:overflowPunct/>
        <w:topLinePunct w:val="0"/>
        <w:autoSpaceDE w:val="0"/>
        <w:autoSpaceDN w:val="0"/>
        <w:bidi w:val="0"/>
        <w:adjustRightInd w:val="0"/>
        <w:snapToGrid w:val="0"/>
        <w:spacing w:before="217" w:beforeLines="50" w:line="240" w:lineRule="auto"/>
        <w:ind w:firstLine="504"/>
        <w:textAlignment w:val="baseline"/>
        <w:rPr>
          <w:rFonts w:hint="default" w:ascii="仿宋" w:hAnsi="仿宋" w:eastAsia="仿宋" w:cs="仿宋"/>
          <w:b w:val="0"/>
          <w:bCs/>
          <w:snapToGrid w:val="0"/>
          <w:color w:val="auto"/>
          <w:spacing w:val="6"/>
          <w:kern w:val="0"/>
          <w:sz w:val="24"/>
          <w:szCs w:val="24"/>
          <w:highlight w:val="none"/>
        </w:rPr>
      </w:pPr>
      <w:r>
        <w:rPr>
          <w:rFonts w:hint="eastAsia" w:ascii="仿宋" w:hAnsi="仿宋" w:eastAsia="仿宋" w:cs="仿宋"/>
          <w:b w:val="0"/>
          <w:bCs/>
          <w:snapToGrid w:val="0"/>
          <w:color w:val="auto"/>
          <w:spacing w:val="6"/>
          <w:kern w:val="0"/>
          <w:sz w:val="24"/>
          <w:szCs w:val="24"/>
          <w:highlight w:val="none"/>
          <w:lang w:eastAsia="zh-CN"/>
        </w:rPr>
        <w:t>（</w:t>
      </w:r>
      <w:r>
        <w:rPr>
          <w:rFonts w:hint="eastAsia" w:ascii="仿宋" w:hAnsi="仿宋" w:eastAsia="仿宋" w:cs="仿宋"/>
          <w:b w:val="0"/>
          <w:bCs/>
          <w:snapToGrid w:val="0"/>
          <w:color w:val="auto"/>
          <w:spacing w:val="6"/>
          <w:kern w:val="0"/>
          <w:sz w:val="24"/>
          <w:szCs w:val="24"/>
          <w:highlight w:val="none"/>
          <w:lang w:val="en-US" w:eastAsia="zh-CN"/>
        </w:rPr>
        <w:t>3</w:t>
      </w:r>
      <w:r>
        <w:rPr>
          <w:rFonts w:hint="eastAsia" w:ascii="仿宋" w:hAnsi="仿宋" w:eastAsia="仿宋" w:cs="仿宋"/>
          <w:b w:val="0"/>
          <w:bCs/>
          <w:snapToGrid w:val="0"/>
          <w:color w:val="auto"/>
          <w:spacing w:val="6"/>
          <w:kern w:val="0"/>
          <w:sz w:val="24"/>
          <w:szCs w:val="24"/>
          <w:highlight w:val="none"/>
          <w:lang w:eastAsia="zh-CN"/>
        </w:rPr>
        <w:t>）</w:t>
      </w:r>
      <w:r>
        <w:rPr>
          <w:rFonts w:hint="default" w:ascii="仿宋" w:hAnsi="仿宋" w:eastAsia="仿宋" w:cs="仿宋"/>
          <w:b w:val="0"/>
          <w:bCs/>
          <w:snapToGrid w:val="0"/>
          <w:color w:val="auto"/>
          <w:spacing w:val="6"/>
          <w:kern w:val="0"/>
          <w:sz w:val="24"/>
          <w:szCs w:val="24"/>
          <w:highlight w:val="none"/>
        </w:rPr>
        <w:t>创新产品不断涌现，精准对接绿色需求。 本行围绕绿色农村农业、绿色制造、绿色水资源治理、绿色生态城市建设四大方向加大信贷支持力度。创新推出“光伏创收贷”产品，主要用于企业利用他人经营场地安装光伏发电项目，有效支持了扬州绿色生态城市建设；同时充分运用“环保贷”“排污权抵押贷”等特色产品，并积极探索碳排放权质押等新型绿色金融产品，不断丰富绿色金融产品体系。</w:t>
      </w:r>
    </w:p>
    <w:p>
      <w:pPr>
        <w:keepNext w:val="0"/>
        <w:keepLines w:val="0"/>
        <w:pageBreakBefore w:val="0"/>
        <w:widowControl/>
        <w:kinsoku/>
        <w:wordWrap/>
        <w:overflowPunct/>
        <w:topLinePunct w:val="0"/>
        <w:autoSpaceDE w:val="0"/>
        <w:autoSpaceDN w:val="0"/>
        <w:bidi w:val="0"/>
        <w:adjustRightInd w:val="0"/>
        <w:snapToGrid w:val="0"/>
        <w:spacing w:before="217" w:beforeLines="50" w:line="240" w:lineRule="auto"/>
        <w:ind w:firstLine="504"/>
        <w:textAlignment w:val="baseline"/>
        <w:rPr>
          <w:rFonts w:hint="default" w:ascii="仿宋" w:hAnsi="仿宋" w:eastAsia="仿宋" w:cs="仿宋"/>
          <w:b w:val="0"/>
          <w:bCs/>
          <w:snapToGrid w:val="0"/>
          <w:color w:val="auto"/>
          <w:spacing w:val="6"/>
          <w:kern w:val="0"/>
          <w:sz w:val="24"/>
          <w:szCs w:val="24"/>
          <w:highlight w:val="none"/>
        </w:rPr>
      </w:pPr>
      <w:r>
        <w:rPr>
          <w:rFonts w:hint="eastAsia" w:ascii="仿宋" w:hAnsi="仿宋" w:eastAsia="仿宋" w:cs="仿宋"/>
          <w:b w:val="0"/>
          <w:bCs/>
          <w:snapToGrid w:val="0"/>
          <w:color w:val="auto"/>
          <w:spacing w:val="6"/>
          <w:kern w:val="0"/>
          <w:sz w:val="24"/>
          <w:szCs w:val="24"/>
          <w:highlight w:val="none"/>
          <w:lang w:eastAsia="zh-CN"/>
        </w:rPr>
        <w:t>（</w:t>
      </w:r>
      <w:r>
        <w:rPr>
          <w:rFonts w:hint="eastAsia" w:ascii="仿宋" w:hAnsi="仿宋" w:eastAsia="仿宋" w:cs="仿宋"/>
          <w:b w:val="0"/>
          <w:bCs/>
          <w:snapToGrid w:val="0"/>
          <w:color w:val="auto"/>
          <w:spacing w:val="6"/>
          <w:kern w:val="0"/>
          <w:sz w:val="24"/>
          <w:szCs w:val="24"/>
          <w:highlight w:val="none"/>
          <w:lang w:val="en-US" w:eastAsia="zh-CN"/>
        </w:rPr>
        <w:t>4</w:t>
      </w:r>
      <w:r>
        <w:rPr>
          <w:rFonts w:hint="eastAsia" w:ascii="仿宋" w:hAnsi="仿宋" w:eastAsia="仿宋" w:cs="仿宋"/>
          <w:b w:val="0"/>
          <w:bCs/>
          <w:snapToGrid w:val="0"/>
          <w:color w:val="auto"/>
          <w:spacing w:val="6"/>
          <w:kern w:val="0"/>
          <w:sz w:val="24"/>
          <w:szCs w:val="24"/>
          <w:highlight w:val="none"/>
          <w:lang w:eastAsia="zh-CN"/>
        </w:rPr>
        <w:t>）</w:t>
      </w:r>
      <w:r>
        <w:rPr>
          <w:rFonts w:hint="default" w:ascii="仿宋" w:hAnsi="仿宋" w:eastAsia="仿宋" w:cs="仿宋"/>
          <w:b w:val="0"/>
          <w:bCs/>
          <w:snapToGrid w:val="0"/>
          <w:color w:val="auto"/>
          <w:spacing w:val="6"/>
          <w:kern w:val="0"/>
          <w:sz w:val="24"/>
          <w:szCs w:val="24"/>
          <w:highlight w:val="none"/>
        </w:rPr>
        <w:t>特色平台成功搭建，产业融合实现突破。 2026年1月（报告期末后续进展），本行在杭集特色支行成立牙刷绿色金融实验室，以“绿色赋能、创新驱动、产业共生”为核心定位，深度链接“中国牙刷之都”杭集的产业资源，聚焦牙刷产业绿色转型中的痛点难点，打造集绿色金融产品研发、政策研究、技术支撑、服务落地于一体的专业化平台，实现金融服务与特色产业绿色发展的同频共振、双向赋能，为全省乃至全国特色产业绿色转型提供了“扬州样板”。</w:t>
      </w:r>
    </w:p>
    <w:p>
      <w:pPr>
        <w:keepNext w:val="0"/>
        <w:keepLines w:val="0"/>
        <w:pageBreakBefore w:val="0"/>
        <w:widowControl/>
        <w:kinsoku/>
        <w:wordWrap/>
        <w:overflowPunct/>
        <w:topLinePunct w:val="0"/>
        <w:autoSpaceDE w:val="0"/>
        <w:autoSpaceDN w:val="0"/>
        <w:bidi w:val="0"/>
        <w:adjustRightInd w:val="0"/>
        <w:snapToGrid w:val="0"/>
        <w:spacing w:before="217" w:beforeLines="50" w:line="240" w:lineRule="auto"/>
        <w:ind w:firstLine="504"/>
        <w:textAlignment w:val="baseline"/>
        <w:rPr>
          <w:rFonts w:hint="default" w:ascii="仿宋" w:hAnsi="仿宋" w:eastAsia="仿宋" w:cs="仿宋"/>
          <w:b w:val="0"/>
          <w:bCs/>
          <w:snapToGrid w:val="0"/>
          <w:color w:val="auto"/>
          <w:spacing w:val="6"/>
          <w:kern w:val="0"/>
          <w:sz w:val="24"/>
          <w:szCs w:val="24"/>
          <w:highlight w:val="none"/>
        </w:rPr>
      </w:pPr>
      <w:r>
        <w:rPr>
          <w:rFonts w:hint="eastAsia" w:ascii="仿宋" w:hAnsi="仿宋" w:eastAsia="仿宋" w:cs="仿宋"/>
          <w:b w:val="0"/>
          <w:bCs/>
          <w:snapToGrid w:val="0"/>
          <w:color w:val="auto"/>
          <w:spacing w:val="6"/>
          <w:kern w:val="0"/>
          <w:sz w:val="24"/>
          <w:szCs w:val="24"/>
          <w:highlight w:val="none"/>
          <w:lang w:eastAsia="zh-CN"/>
        </w:rPr>
        <w:t>（</w:t>
      </w:r>
      <w:r>
        <w:rPr>
          <w:rFonts w:hint="eastAsia" w:ascii="仿宋" w:hAnsi="仿宋" w:eastAsia="仿宋" w:cs="仿宋"/>
          <w:b w:val="0"/>
          <w:bCs/>
          <w:snapToGrid w:val="0"/>
          <w:color w:val="auto"/>
          <w:spacing w:val="6"/>
          <w:kern w:val="0"/>
          <w:sz w:val="24"/>
          <w:szCs w:val="24"/>
          <w:highlight w:val="none"/>
          <w:lang w:val="en-US" w:eastAsia="zh-CN"/>
        </w:rPr>
        <w:t>5</w:t>
      </w:r>
      <w:r>
        <w:rPr>
          <w:rFonts w:hint="eastAsia" w:ascii="仿宋" w:hAnsi="仿宋" w:eastAsia="仿宋" w:cs="仿宋"/>
          <w:b w:val="0"/>
          <w:bCs/>
          <w:snapToGrid w:val="0"/>
          <w:color w:val="auto"/>
          <w:spacing w:val="6"/>
          <w:kern w:val="0"/>
          <w:sz w:val="24"/>
          <w:szCs w:val="24"/>
          <w:highlight w:val="none"/>
          <w:lang w:eastAsia="zh-CN"/>
        </w:rPr>
        <w:t>）</w:t>
      </w:r>
      <w:r>
        <w:rPr>
          <w:rFonts w:hint="default" w:ascii="仿宋" w:hAnsi="仿宋" w:eastAsia="仿宋" w:cs="仿宋"/>
          <w:b w:val="0"/>
          <w:bCs/>
          <w:snapToGrid w:val="0"/>
          <w:color w:val="auto"/>
          <w:spacing w:val="6"/>
          <w:kern w:val="0"/>
          <w:sz w:val="24"/>
          <w:szCs w:val="24"/>
          <w:highlight w:val="none"/>
        </w:rPr>
        <w:t>绿色运营深入推进，低碳理念全面落地。 本行积极推进数字化运营，打造数智化运营管理体系，对管理全流程实施线上化、自动化、数据化改造，有效降低资源消耗。严格落实绿色低碳办公举措，包括办公场所日常巡检、空调系统优化、公务用车科学调度、节能环保设备优先采购、线上视频会议推广等，切实降低自身运营碳足迹，以实际行动践行节能环保理念。</w:t>
      </w:r>
    </w:p>
    <w:p>
      <w:pPr>
        <w:keepNext w:val="0"/>
        <w:keepLines w:val="0"/>
        <w:pageBreakBefore w:val="0"/>
        <w:widowControl/>
        <w:kinsoku/>
        <w:wordWrap/>
        <w:overflowPunct/>
        <w:topLinePunct w:val="0"/>
        <w:autoSpaceDE w:val="0"/>
        <w:autoSpaceDN w:val="0"/>
        <w:bidi w:val="0"/>
        <w:adjustRightInd w:val="0"/>
        <w:snapToGrid w:val="0"/>
        <w:spacing w:before="217" w:beforeLines="50" w:line="240" w:lineRule="auto"/>
        <w:ind w:firstLine="504"/>
        <w:textAlignment w:val="baseline"/>
        <w:rPr>
          <w:rFonts w:hint="default" w:ascii="仿宋" w:hAnsi="仿宋" w:eastAsia="仿宋" w:cs="仿宋"/>
          <w:b w:val="0"/>
          <w:bCs/>
          <w:snapToGrid w:val="0"/>
          <w:color w:val="auto"/>
          <w:spacing w:val="6"/>
          <w:kern w:val="0"/>
          <w:sz w:val="24"/>
          <w:szCs w:val="24"/>
          <w:highlight w:val="none"/>
        </w:rPr>
      </w:pPr>
      <w:r>
        <w:rPr>
          <w:rFonts w:hint="eastAsia" w:ascii="仿宋" w:hAnsi="仿宋" w:eastAsia="仿宋" w:cs="仿宋"/>
          <w:b w:val="0"/>
          <w:bCs/>
          <w:snapToGrid w:val="0"/>
          <w:color w:val="auto"/>
          <w:spacing w:val="6"/>
          <w:kern w:val="0"/>
          <w:sz w:val="24"/>
          <w:szCs w:val="24"/>
          <w:highlight w:val="none"/>
          <w:lang w:eastAsia="zh-CN"/>
        </w:rPr>
        <w:t>（</w:t>
      </w:r>
      <w:r>
        <w:rPr>
          <w:rFonts w:hint="eastAsia" w:ascii="仿宋" w:hAnsi="仿宋" w:eastAsia="仿宋" w:cs="仿宋"/>
          <w:b w:val="0"/>
          <w:bCs/>
          <w:snapToGrid w:val="0"/>
          <w:color w:val="auto"/>
          <w:spacing w:val="6"/>
          <w:kern w:val="0"/>
          <w:sz w:val="24"/>
          <w:szCs w:val="24"/>
          <w:highlight w:val="none"/>
          <w:lang w:val="en-US" w:eastAsia="zh-CN"/>
        </w:rPr>
        <w:t>6</w:t>
      </w:r>
      <w:r>
        <w:rPr>
          <w:rFonts w:hint="eastAsia" w:ascii="仿宋" w:hAnsi="仿宋" w:eastAsia="仿宋" w:cs="仿宋"/>
          <w:b w:val="0"/>
          <w:bCs/>
          <w:snapToGrid w:val="0"/>
          <w:color w:val="auto"/>
          <w:spacing w:val="6"/>
          <w:kern w:val="0"/>
          <w:sz w:val="24"/>
          <w:szCs w:val="24"/>
          <w:highlight w:val="none"/>
          <w:lang w:eastAsia="zh-CN"/>
        </w:rPr>
        <w:t>）</w:t>
      </w:r>
      <w:r>
        <w:rPr>
          <w:rFonts w:hint="default" w:ascii="仿宋" w:hAnsi="仿宋" w:eastAsia="仿宋" w:cs="仿宋"/>
          <w:b w:val="0"/>
          <w:bCs/>
          <w:snapToGrid w:val="0"/>
          <w:color w:val="auto"/>
          <w:spacing w:val="6"/>
          <w:kern w:val="0"/>
          <w:sz w:val="24"/>
          <w:szCs w:val="24"/>
          <w:highlight w:val="none"/>
        </w:rPr>
        <w:t>服务地方特色鲜明，绿色金融品牌彰显。 本行紧密结合扬州作为“运河之城”和最佳人居城市的区域特征，将绿色金融与长江大保护、大运河生态修复、南水北调东线工程水源保护深度融合，为扬州绿色水资源治理和生态城市建设提供有力金融支撑，初步树立起“绿色银行”的品牌形象，为地方经济绿色低碳转型注入了强劲的农商动能。</w:t>
      </w:r>
    </w:p>
    <w:p>
      <w:pPr>
        <w:pStyle w:val="2"/>
        <w:keepNext w:val="0"/>
        <w:keepLines w:val="0"/>
        <w:pageBreakBefore w:val="0"/>
        <w:widowControl w:val="0"/>
        <w:kinsoku/>
        <w:wordWrap/>
        <w:overflowPunct/>
        <w:topLinePunct w:val="0"/>
        <w:autoSpaceDE/>
        <w:autoSpaceDN/>
        <w:bidi w:val="0"/>
        <w:adjustRightInd/>
        <w:snapToGrid/>
        <w:spacing w:after="0" w:line="240" w:lineRule="auto"/>
        <w:textAlignment w:val="auto"/>
        <w:rPr>
          <w:rFonts w:hint="eastAsia" w:ascii="仿宋" w:hAnsi="仿宋" w:eastAsia="仿宋" w:cs="仿宋"/>
          <w:b w:val="0"/>
          <w:bCs/>
          <w:snapToGrid w:val="0"/>
          <w:color w:val="auto"/>
          <w:spacing w:val="6"/>
          <w:kern w:val="0"/>
          <w:sz w:val="18"/>
          <w:szCs w:val="18"/>
          <w:lang w:val="en-US" w:eastAsia="zh-CN" w:bidi="ar-SA"/>
        </w:rPr>
      </w:pPr>
      <w:bookmarkStart w:id="8" w:name="_Toc25604"/>
    </w:p>
    <w:p>
      <w:pPr>
        <w:keepNext w:val="0"/>
        <w:keepLines w:val="0"/>
        <w:pageBreakBefore w:val="0"/>
        <w:widowControl/>
        <w:numPr>
          <w:ilvl w:val="0"/>
          <w:numId w:val="0"/>
        </w:numPr>
        <w:kinsoku/>
        <w:wordWrap/>
        <w:overflowPunct/>
        <w:topLinePunct w:val="0"/>
        <w:autoSpaceDE w:val="0"/>
        <w:autoSpaceDN w:val="0"/>
        <w:bidi w:val="0"/>
        <w:adjustRightInd w:val="0"/>
        <w:snapToGrid w:val="0"/>
        <w:spacing w:before="149" w:beforeLines="50" w:line="240" w:lineRule="auto"/>
        <w:ind w:left="0" w:leftChars="0" w:firstLine="0" w:firstLineChars="0"/>
        <w:textAlignment w:val="baseline"/>
        <w:outlineLvl w:val="0"/>
        <w:rPr>
          <w:rFonts w:hint="eastAsia" w:ascii="微软雅黑" w:hAnsi="微软雅黑" w:eastAsia="微软雅黑" w:cs="微软雅黑"/>
          <w:b w:val="0"/>
          <w:bCs/>
          <w:color w:val="000000" w:themeColor="text1"/>
          <w:kern w:val="2"/>
          <w:sz w:val="28"/>
          <w:szCs w:val="28"/>
          <w:lang w:val="en-US" w:eastAsia="zh-CN" w:bidi="ar-SA"/>
          <w14:textFill>
            <w14:solidFill>
              <w14:schemeClr w14:val="tx1"/>
            </w14:solidFill>
          </w14:textFill>
        </w:rPr>
      </w:pPr>
      <w:r>
        <w:rPr>
          <w:rFonts w:hint="eastAsia" w:ascii="微软雅黑" w:hAnsi="微软雅黑" w:eastAsia="微软雅黑" w:cs="微软雅黑"/>
          <w:b w:val="0"/>
          <w:bCs/>
          <w:color w:val="000000" w:themeColor="text1"/>
          <w:kern w:val="2"/>
          <w:sz w:val="28"/>
          <w:szCs w:val="28"/>
          <w:lang w:val="en-US" w:eastAsia="zh-CN" w:bidi="ar-SA"/>
          <w14:textFill>
            <w14:solidFill>
              <w14:schemeClr w14:val="tx1"/>
            </w14:solidFill>
          </w14:textFill>
        </w:rPr>
        <w:t>2.4 环境信息关键绩效</w:t>
      </w:r>
      <w:bookmarkEnd w:id="8"/>
    </w:p>
    <w:p>
      <w:pPr>
        <w:keepNext w:val="0"/>
        <w:keepLines w:val="0"/>
        <w:pageBreakBefore w:val="0"/>
        <w:widowControl/>
        <w:kinsoku/>
        <w:wordWrap/>
        <w:overflowPunct/>
        <w:topLinePunct w:val="0"/>
        <w:autoSpaceDE w:val="0"/>
        <w:autoSpaceDN w:val="0"/>
        <w:bidi w:val="0"/>
        <w:adjustRightInd w:val="0"/>
        <w:snapToGrid w:val="0"/>
        <w:spacing w:before="217" w:beforeLines="50" w:line="240" w:lineRule="auto"/>
        <w:ind w:firstLine="504"/>
        <w:textAlignment w:val="baseline"/>
        <w:rPr>
          <w:rFonts w:hint="default" w:ascii="仿宋" w:hAnsi="仿宋" w:eastAsia="仿宋" w:cs="仿宋"/>
          <w:b w:val="0"/>
          <w:bCs/>
          <w:snapToGrid w:val="0"/>
          <w:color w:val="auto"/>
          <w:spacing w:val="6"/>
          <w:kern w:val="0"/>
          <w:sz w:val="24"/>
          <w:szCs w:val="24"/>
          <w:highlight w:val="none"/>
        </w:rPr>
      </w:pPr>
      <w:r>
        <w:rPr>
          <w:rFonts w:hint="default" w:ascii="仿宋" w:hAnsi="仿宋" w:eastAsia="仿宋" w:cs="仿宋"/>
          <w:b w:val="0"/>
          <w:bCs/>
          <w:snapToGrid w:val="0"/>
          <w:color w:val="auto"/>
          <w:spacing w:val="6"/>
          <w:kern w:val="0"/>
          <w:sz w:val="24"/>
          <w:szCs w:val="24"/>
          <w:highlight w:val="none"/>
        </w:rPr>
        <w:t>2025年度，扬州农商银行紧紧围绕“双碳”目标和“两山”理念，将绿色金融上升为全行战略重点，构建了“战略—组织—机制”三位一体的发展框架，绿色信贷业务实现跨越式增长。截至2025年末，全行绿色贷款余额达16.37亿元，较年初增加4.49亿元，增幅达37.79%，增速较上年提升26.80个百分点，增量约为上一年度的3.8倍。绿色信贷不良贷款率保持为零，资产质量优良，实现了规模扩张与风险控制的有效平衡，绿色信贷已成为全行信贷增长的重要引擎。</w:t>
      </w:r>
    </w:p>
    <w:p>
      <w:pPr>
        <w:keepNext w:val="0"/>
        <w:keepLines w:val="0"/>
        <w:pageBreakBefore w:val="0"/>
        <w:widowControl/>
        <w:kinsoku/>
        <w:wordWrap/>
        <w:overflowPunct/>
        <w:topLinePunct w:val="0"/>
        <w:autoSpaceDE w:val="0"/>
        <w:autoSpaceDN w:val="0"/>
        <w:bidi w:val="0"/>
        <w:adjustRightInd w:val="0"/>
        <w:snapToGrid w:val="0"/>
        <w:spacing w:before="217" w:beforeLines="50" w:line="240" w:lineRule="auto"/>
        <w:ind w:firstLine="504"/>
        <w:textAlignment w:val="baseline"/>
        <w:rPr>
          <w:rFonts w:hint="default" w:ascii="仿宋" w:hAnsi="仿宋" w:eastAsia="仿宋" w:cs="仿宋"/>
          <w:b w:val="0"/>
          <w:bCs/>
          <w:snapToGrid w:val="0"/>
          <w:color w:val="auto"/>
          <w:spacing w:val="6"/>
          <w:kern w:val="0"/>
          <w:sz w:val="24"/>
          <w:szCs w:val="24"/>
          <w:highlight w:val="none"/>
        </w:rPr>
      </w:pPr>
      <w:r>
        <w:rPr>
          <w:rFonts w:hint="default" w:ascii="仿宋" w:hAnsi="仿宋" w:eastAsia="仿宋" w:cs="仿宋"/>
          <w:b w:val="0"/>
          <w:bCs/>
          <w:snapToGrid w:val="0"/>
          <w:color w:val="auto"/>
          <w:spacing w:val="6"/>
          <w:kern w:val="0"/>
          <w:sz w:val="24"/>
          <w:szCs w:val="24"/>
          <w:highlight w:val="none"/>
        </w:rPr>
        <w:t>上述成绩的取得，得益于本行在绿色金融领域的系统布局与持续深耕。在顶层设计上，董事会下设绿色金融委员会，制定实施《绿色金融发展三年规划》及《绿色信贷授信政策指引》，明确每年绿色贷款增速不低于20%的硬性目标；在组织保障上，成立绿色金融事业部，配备专职管理团队，并在杭集特色支行设立牙刷绿色金融实验室，聚焦地方特色产业绿色转型；在考核激励上，单列绿色金融专项指标，将考核结果与机构、人员绩效直接挂钩，形成有效的激励约束机制。一系列举措推动绿色信贷增速远超各项贷款平均增速，信贷结构“绿色”转化加速推进，为全行高质量发展注入了新动能。面向未来，扬州农商银行将继续深耕绿色金融领域，加大绿色信贷投放力度，持续完善绿色金融产品体系，为支持地方经济低碳转型、守护扬州的“绿水青山”贡献更加坚实的农商力量。</w:t>
      </w:r>
    </w:p>
    <w:p>
      <w:pPr>
        <w:keepNext w:val="0"/>
        <w:keepLines w:val="0"/>
        <w:pageBreakBefore w:val="0"/>
        <w:widowControl/>
        <w:kinsoku/>
        <w:wordWrap/>
        <w:overflowPunct/>
        <w:topLinePunct w:val="0"/>
        <w:autoSpaceDE w:val="0"/>
        <w:autoSpaceDN w:val="0"/>
        <w:bidi w:val="0"/>
        <w:adjustRightInd w:val="0"/>
        <w:snapToGrid w:val="0"/>
        <w:spacing w:before="149" w:beforeLines="50" w:line="240" w:lineRule="auto"/>
        <w:ind w:firstLine="504" w:firstLineChars="200"/>
        <w:textAlignment w:val="baseline"/>
        <w:rPr>
          <w:rFonts w:hint="eastAsia" w:ascii="仿宋" w:hAnsi="仿宋" w:eastAsia="仿宋" w:cs="仿宋"/>
          <w:b w:val="0"/>
          <w:bCs/>
          <w:snapToGrid w:val="0"/>
          <w:color w:val="000000" w:themeColor="text1"/>
          <w:spacing w:val="6"/>
          <w:kern w:val="0"/>
          <w:sz w:val="24"/>
          <w:szCs w:val="24"/>
          <w:lang w:val="en-US" w:eastAsia="zh-CN"/>
          <w14:textFill>
            <w14:solidFill>
              <w14:schemeClr w14:val="tx1"/>
            </w14:solidFill>
          </w14:textFill>
        </w:rPr>
      </w:pPr>
    </w:p>
    <w:p>
      <w:pPr>
        <w:keepNext w:val="0"/>
        <w:keepLines w:val="0"/>
        <w:pageBreakBefore w:val="0"/>
        <w:widowControl/>
        <w:kinsoku/>
        <w:wordWrap/>
        <w:overflowPunct/>
        <w:topLinePunct w:val="0"/>
        <w:autoSpaceDE w:val="0"/>
        <w:autoSpaceDN w:val="0"/>
        <w:bidi w:val="0"/>
        <w:adjustRightInd w:val="0"/>
        <w:snapToGrid w:val="0"/>
        <w:spacing w:before="149" w:beforeLines="50" w:line="240" w:lineRule="auto"/>
        <w:ind w:firstLine="504" w:firstLineChars="200"/>
        <w:textAlignment w:val="baseline"/>
        <w:rPr>
          <w:rFonts w:hint="eastAsia" w:ascii="仿宋" w:hAnsi="仿宋" w:eastAsia="仿宋" w:cs="仿宋"/>
          <w:b w:val="0"/>
          <w:bCs/>
          <w:snapToGrid w:val="0"/>
          <w:color w:val="000000" w:themeColor="text1"/>
          <w:spacing w:val="6"/>
          <w:kern w:val="0"/>
          <w:sz w:val="24"/>
          <w:szCs w:val="24"/>
          <w:lang w:val="en-US" w:eastAsia="zh-CN"/>
          <w14:textFill>
            <w14:solidFill>
              <w14:schemeClr w14:val="tx1"/>
            </w14:solidFill>
          </w14:textFill>
        </w:rPr>
      </w:pPr>
    </w:p>
    <w:p>
      <w:pPr>
        <w:keepNext w:val="0"/>
        <w:keepLines w:val="0"/>
        <w:pageBreakBefore w:val="0"/>
        <w:kinsoku/>
        <w:wordWrap/>
        <w:overflowPunct/>
        <w:topLinePunct w:val="0"/>
        <w:bidi w:val="0"/>
        <w:rPr>
          <w:rFonts w:hint="eastAsia" w:ascii="仿宋" w:hAnsi="仿宋" w:eastAsia="仿宋" w:cs="仿宋"/>
          <w:b w:val="0"/>
          <w:bCs/>
          <w:snapToGrid w:val="0"/>
          <w:color w:val="000000" w:themeColor="text1"/>
          <w:spacing w:val="6"/>
          <w:kern w:val="0"/>
          <w:sz w:val="24"/>
          <w:szCs w:val="24"/>
          <w:lang w:val="en-US" w:eastAsia="zh-CN"/>
          <w14:textFill>
            <w14:solidFill>
              <w14:schemeClr w14:val="tx1"/>
            </w14:solidFill>
          </w14:textFill>
        </w:rPr>
      </w:pPr>
      <w:r>
        <w:rPr>
          <w:rFonts w:hint="eastAsia" w:ascii="仿宋" w:hAnsi="仿宋" w:eastAsia="仿宋" w:cs="仿宋"/>
          <w:b w:val="0"/>
          <w:bCs/>
          <w:snapToGrid w:val="0"/>
          <w:color w:val="000000" w:themeColor="text1"/>
          <w:spacing w:val="6"/>
          <w:kern w:val="0"/>
          <w:sz w:val="24"/>
          <w:szCs w:val="24"/>
          <w:lang w:val="en-US" w:eastAsia="zh-CN"/>
          <w14:textFill>
            <w14:solidFill>
              <w14:schemeClr w14:val="tx1"/>
            </w14:solidFill>
          </w14:textFill>
        </w:rPr>
        <w:br w:type="page"/>
      </w:r>
    </w:p>
    <w:p>
      <w:pPr>
        <w:pStyle w:val="18"/>
        <w:keepNext w:val="0"/>
        <w:keepLines w:val="0"/>
        <w:pageBreakBefore w:val="0"/>
        <w:numPr>
          <w:ilvl w:val="0"/>
          <w:numId w:val="6"/>
        </w:numPr>
        <w:tabs>
          <w:tab w:val="right" w:leader="dot" w:pos="9897"/>
        </w:tabs>
        <w:kinsoku/>
        <w:wordWrap/>
        <w:overflowPunct/>
        <w:topLinePunct w:val="0"/>
        <w:bidi w:val="0"/>
        <w:adjustRightInd w:val="0"/>
        <w:snapToGrid w:val="0"/>
        <w:spacing w:line="240" w:lineRule="auto"/>
        <w:ind w:left="0" w:leftChars="0" w:firstLine="0" w:firstLineChars="0"/>
        <w:jc w:val="center"/>
        <w:outlineLvl w:val="0"/>
        <w:rPr>
          <w:rFonts w:hint="eastAsia" w:ascii="微软雅黑" w:hAnsi="微软雅黑" w:eastAsia="微软雅黑" w:cs="微软雅黑"/>
          <w:b w:val="0"/>
          <w:bCs/>
          <w:color w:val="00B050"/>
          <w:kern w:val="2"/>
          <w:sz w:val="32"/>
          <w:szCs w:val="32"/>
          <w:lang w:val="en-US" w:eastAsia="zh-CN" w:bidi="ar-SA"/>
        </w:rPr>
      </w:pPr>
      <w:bookmarkStart w:id="9" w:name="_Toc29675"/>
      <w:r>
        <w:rPr>
          <w:rFonts w:hint="eastAsia" w:ascii="微软雅黑" w:hAnsi="微软雅黑" w:eastAsia="微软雅黑" w:cs="微软雅黑"/>
          <w:b w:val="0"/>
          <w:bCs/>
          <w:color w:val="00B050"/>
          <w:kern w:val="2"/>
          <w:sz w:val="32"/>
          <w:szCs w:val="32"/>
          <w:lang w:val="en-US" w:eastAsia="zh-CN" w:bidi="ar-SA"/>
        </w:rPr>
        <w:t>环境相关治理结构</w:t>
      </w:r>
      <w:bookmarkEnd w:id="9"/>
    </w:p>
    <w:p>
      <w:pPr>
        <w:keepNext w:val="0"/>
        <w:keepLines w:val="0"/>
        <w:pageBreakBefore w:val="0"/>
        <w:widowControl/>
        <w:numPr>
          <w:ilvl w:val="0"/>
          <w:numId w:val="0"/>
        </w:numPr>
        <w:kinsoku/>
        <w:wordWrap/>
        <w:overflowPunct/>
        <w:topLinePunct w:val="0"/>
        <w:autoSpaceDE w:val="0"/>
        <w:autoSpaceDN w:val="0"/>
        <w:bidi w:val="0"/>
        <w:adjustRightInd w:val="0"/>
        <w:snapToGrid w:val="0"/>
        <w:spacing w:before="149" w:beforeLines="50" w:line="240" w:lineRule="auto"/>
        <w:ind w:left="0" w:leftChars="0" w:firstLine="0" w:firstLineChars="0"/>
        <w:textAlignment w:val="baseline"/>
        <w:outlineLvl w:val="0"/>
        <w:rPr>
          <w:rFonts w:hint="eastAsia" w:ascii="微软雅黑" w:hAnsi="微软雅黑" w:eastAsia="微软雅黑" w:cs="微软雅黑"/>
          <w:b w:val="0"/>
          <w:bCs/>
          <w:color w:val="000000" w:themeColor="text1"/>
          <w:kern w:val="2"/>
          <w:sz w:val="28"/>
          <w:szCs w:val="28"/>
          <w:lang w:val="en-US" w:eastAsia="zh-CN" w:bidi="ar-SA"/>
          <w14:textFill>
            <w14:solidFill>
              <w14:schemeClr w14:val="tx1"/>
            </w14:solidFill>
          </w14:textFill>
        </w:rPr>
      </w:pPr>
      <w:bookmarkStart w:id="10" w:name="_Toc16464"/>
      <w:r>
        <w:rPr>
          <w:rFonts w:hint="eastAsia" w:ascii="微软雅黑" w:hAnsi="微软雅黑" w:eastAsia="微软雅黑" w:cs="微软雅黑"/>
          <w:b w:val="0"/>
          <w:bCs/>
          <w:color w:val="000000" w:themeColor="text1"/>
          <w:kern w:val="2"/>
          <w:sz w:val="28"/>
          <w:szCs w:val="28"/>
          <w:lang w:val="en-US" w:eastAsia="zh-CN" w:bidi="ar-SA"/>
          <w14:textFill>
            <w14:solidFill>
              <w14:schemeClr w14:val="tx1"/>
            </w14:solidFill>
          </w14:textFill>
        </w:rPr>
        <w:t>3.1 总行层面</w:t>
      </w:r>
      <w:bookmarkEnd w:id="10"/>
    </w:p>
    <w:p>
      <w:pPr>
        <w:keepNext w:val="0"/>
        <w:keepLines w:val="0"/>
        <w:pageBreakBefore w:val="0"/>
        <w:widowControl/>
        <w:kinsoku/>
        <w:wordWrap/>
        <w:overflowPunct/>
        <w:topLinePunct w:val="0"/>
        <w:autoSpaceDE w:val="0"/>
        <w:autoSpaceDN w:val="0"/>
        <w:bidi w:val="0"/>
        <w:adjustRightInd w:val="0"/>
        <w:snapToGrid w:val="0"/>
        <w:spacing w:before="149" w:beforeLines="50" w:line="240" w:lineRule="auto"/>
        <w:ind w:firstLine="480" w:firstLineChars="200"/>
        <w:textAlignment w:val="baseline"/>
        <w:outlineLvl w:val="2"/>
        <w:rPr>
          <w:rFonts w:hint="eastAsia" w:ascii="微软雅黑" w:hAnsi="微软雅黑" w:eastAsia="微软雅黑" w:cs="微软雅黑"/>
          <w:b w:val="0"/>
          <w:bCs/>
          <w:color w:val="000000" w:themeColor="text1"/>
          <w:kern w:val="2"/>
          <w:sz w:val="24"/>
          <w:szCs w:val="24"/>
          <w:lang w:val="en-US" w:eastAsia="zh-CN" w:bidi="ar-SA"/>
          <w14:textFill>
            <w14:solidFill>
              <w14:schemeClr w14:val="tx1"/>
            </w14:solidFill>
          </w14:textFill>
        </w:rPr>
      </w:pPr>
      <w:r>
        <w:rPr>
          <w:rFonts w:hint="eastAsia" w:ascii="微软雅黑" w:hAnsi="微软雅黑" w:eastAsia="微软雅黑" w:cs="微软雅黑"/>
          <w:b w:val="0"/>
          <w:bCs/>
          <w:color w:val="000000" w:themeColor="text1"/>
          <w:kern w:val="2"/>
          <w:sz w:val="24"/>
          <w:szCs w:val="24"/>
          <w:lang w:val="en-US" w:eastAsia="zh-CN" w:bidi="ar-SA"/>
          <w14:textFill>
            <w14:solidFill>
              <w14:schemeClr w14:val="tx1"/>
            </w14:solidFill>
          </w14:textFill>
        </w:rPr>
        <w:t>3.1.1董事会层面治理:</w:t>
      </w:r>
    </w:p>
    <w:p>
      <w:pPr>
        <w:keepNext w:val="0"/>
        <w:keepLines w:val="0"/>
        <w:pageBreakBefore w:val="0"/>
        <w:widowControl/>
        <w:kinsoku/>
        <w:wordWrap/>
        <w:overflowPunct/>
        <w:topLinePunct w:val="0"/>
        <w:autoSpaceDE w:val="0"/>
        <w:autoSpaceDN w:val="0"/>
        <w:bidi w:val="0"/>
        <w:adjustRightInd w:val="0"/>
        <w:snapToGrid w:val="0"/>
        <w:spacing w:before="217" w:beforeLines="50" w:line="240" w:lineRule="auto"/>
        <w:ind w:firstLine="504"/>
        <w:textAlignment w:val="baseline"/>
        <w:rPr>
          <w:rFonts w:hint="eastAsia" w:ascii="仿宋" w:hAnsi="仿宋" w:eastAsia="仿宋" w:cs="仿宋"/>
          <w:b w:val="0"/>
          <w:bCs/>
          <w:snapToGrid w:val="0"/>
          <w:color w:val="auto"/>
          <w:spacing w:val="6"/>
          <w:kern w:val="0"/>
          <w:sz w:val="24"/>
          <w:szCs w:val="24"/>
          <w:highlight w:val="none"/>
          <w:lang w:val="en-US" w:eastAsia="zh-CN"/>
        </w:rPr>
      </w:pPr>
      <w:r>
        <w:rPr>
          <w:rFonts w:hint="eastAsia" w:ascii="仿宋" w:hAnsi="仿宋" w:eastAsia="仿宋" w:cs="仿宋"/>
          <w:b w:val="0"/>
          <w:bCs/>
          <w:snapToGrid w:val="0"/>
          <w:color w:val="auto"/>
          <w:spacing w:val="6"/>
          <w:kern w:val="0"/>
          <w:sz w:val="24"/>
          <w:szCs w:val="24"/>
          <w:highlight w:val="none"/>
          <w:lang w:val="en-US" w:eastAsia="zh-CN"/>
        </w:rPr>
        <w:t>本行</w:t>
      </w:r>
      <w:r>
        <w:rPr>
          <w:rFonts w:hint="default" w:ascii="仿宋" w:hAnsi="仿宋" w:eastAsia="仿宋" w:cs="仿宋"/>
          <w:b w:val="0"/>
          <w:bCs/>
          <w:snapToGrid w:val="0"/>
          <w:color w:val="auto"/>
          <w:spacing w:val="6"/>
          <w:kern w:val="0"/>
          <w:sz w:val="24"/>
          <w:szCs w:val="24"/>
          <w:highlight w:val="none"/>
        </w:rPr>
        <w:t>董事会将绿色金融纳入公司治理顶层设计，承担绿色金融主体责任。报告期末，董事会下设绿色金融委员会，与战略和三农、审计、消费者权益保护和执行、风险管理和关联交易控制、提名和薪酬等委员会共同构成6个董事会专门委员会。董事会制定绿色金融委员会工作制度，从顶层设计、治理角度、制度层面等逐步完善并积极推进</w:t>
      </w:r>
      <w:r>
        <w:rPr>
          <w:rFonts w:hint="default" w:ascii="仿宋" w:hAnsi="仿宋" w:eastAsia="仿宋" w:cs="仿宋"/>
          <w:b w:val="0"/>
          <w:bCs/>
          <w:snapToGrid w:val="0"/>
          <w:color w:val="auto"/>
          <w:spacing w:val="6"/>
          <w:kern w:val="0"/>
          <w:sz w:val="24"/>
          <w:szCs w:val="24"/>
          <w:highlight w:val="none"/>
        </w:rPr>
        <w:fldChar w:fldCharType="begin"/>
      </w:r>
      <w:r>
        <w:rPr>
          <w:rFonts w:hint="default" w:ascii="仿宋" w:hAnsi="仿宋" w:eastAsia="仿宋" w:cs="仿宋"/>
          <w:b w:val="0"/>
          <w:bCs/>
          <w:snapToGrid w:val="0"/>
          <w:color w:val="auto"/>
          <w:spacing w:val="6"/>
          <w:kern w:val="0"/>
          <w:sz w:val="24"/>
          <w:szCs w:val="24"/>
          <w:highlight w:val="none"/>
        </w:rPr>
        <w:instrText xml:space="preserve"> HYPERLINK "http://www.yznsh.net/yzrcb/625632/625748/973129/2022080510003365976.pdf" \l "13#7" \t "https://chat.deepseek.com/a/chat/s/_blank" </w:instrText>
      </w:r>
      <w:r>
        <w:rPr>
          <w:rFonts w:hint="default" w:ascii="仿宋" w:hAnsi="仿宋" w:eastAsia="仿宋" w:cs="仿宋"/>
          <w:b w:val="0"/>
          <w:bCs/>
          <w:snapToGrid w:val="0"/>
          <w:color w:val="auto"/>
          <w:spacing w:val="6"/>
          <w:kern w:val="0"/>
          <w:sz w:val="24"/>
          <w:szCs w:val="24"/>
          <w:highlight w:val="none"/>
        </w:rPr>
        <w:fldChar w:fldCharType="separate"/>
      </w:r>
      <w:r>
        <w:rPr>
          <w:rFonts w:hint="default" w:ascii="仿宋" w:hAnsi="仿宋" w:eastAsia="仿宋" w:cs="仿宋"/>
          <w:b w:val="0"/>
          <w:bCs/>
          <w:snapToGrid w:val="0"/>
          <w:color w:val="auto"/>
          <w:spacing w:val="6"/>
          <w:kern w:val="0"/>
          <w:sz w:val="24"/>
          <w:szCs w:val="24"/>
          <w:highlight w:val="none"/>
        </w:rPr>
        <w:fldChar w:fldCharType="end"/>
      </w:r>
      <w:r>
        <w:rPr>
          <w:rFonts w:hint="default" w:ascii="仿宋" w:hAnsi="仿宋" w:eastAsia="仿宋" w:cs="仿宋"/>
          <w:b w:val="0"/>
          <w:bCs/>
          <w:snapToGrid w:val="0"/>
          <w:color w:val="auto"/>
          <w:spacing w:val="6"/>
          <w:kern w:val="0"/>
          <w:sz w:val="24"/>
          <w:szCs w:val="24"/>
          <w:highlight w:val="none"/>
        </w:rPr>
        <w:t>；制定《绿色金融发展三年规划》及《绿色信贷授信政策指引》等制度文件</w:t>
      </w:r>
      <w:r>
        <w:rPr>
          <w:rFonts w:hint="default" w:ascii="仿宋" w:hAnsi="仿宋" w:eastAsia="仿宋" w:cs="仿宋"/>
          <w:b w:val="0"/>
          <w:bCs/>
          <w:snapToGrid w:val="0"/>
          <w:color w:val="auto"/>
          <w:spacing w:val="6"/>
          <w:kern w:val="0"/>
          <w:sz w:val="24"/>
          <w:szCs w:val="24"/>
          <w:highlight w:val="none"/>
        </w:rPr>
        <w:fldChar w:fldCharType="begin"/>
      </w:r>
      <w:r>
        <w:rPr>
          <w:rFonts w:hint="default" w:ascii="仿宋" w:hAnsi="仿宋" w:eastAsia="仿宋" w:cs="仿宋"/>
          <w:b w:val="0"/>
          <w:bCs/>
          <w:snapToGrid w:val="0"/>
          <w:color w:val="auto"/>
          <w:spacing w:val="6"/>
          <w:kern w:val="0"/>
          <w:sz w:val="24"/>
          <w:szCs w:val="24"/>
          <w:highlight w:val="none"/>
        </w:rPr>
        <w:instrText xml:space="preserve"> HYPERLINK "http://www.yznsh.net/yzrcb/625632/625748/973129/2022080510003365976.pdf" \l "13#7" \t "https://chat.deepseek.com/a/chat/s/_blank" </w:instrText>
      </w:r>
      <w:r>
        <w:rPr>
          <w:rFonts w:hint="default" w:ascii="仿宋" w:hAnsi="仿宋" w:eastAsia="仿宋" w:cs="仿宋"/>
          <w:b w:val="0"/>
          <w:bCs/>
          <w:snapToGrid w:val="0"/>
          <w:color w:val="auto"/>
          <w:spacing w:val="6"/>
          <w:kern w:val="0"/>
          <w:sz w:val="24"/>
          <w:szCs w:val="24"/>
          <w:highlight w:val="none"/>
        </w:rPr>
        <w:fldChar w:fldCharType="separate"/>
      </w:r>
      <w:r>
        <w:rPr>
          <w:rFonts w:hint="default" w:ascii="仿宋" w:hAnsi="仿宋" w:eastAsia="仿宋" w:cs="仿宋"/>
          <w:b w:val="0"/>
          <w:bCs/>
          <w:snapToGrid w:val="0"/>
          <w:color w:val="auto"/>
          <w:spacing w:val="6"/>
          <w:kern w:val="0"/>
          <w:sz w:val="24"/>
          <w:szCs w:val="24"/>
          <w:highlight w:val="none"/>
        </w:rPr>
        <w:fldChar w:fldCharType="end"/>
      </w:r>
      <w:r>
        <w:rPr>
          <w:rFonts w:hint="default" w:ascii="仿宋" w:hAnsi="仿宋" w:eastAsia="仿宋" w:cs="仿宋"/>
          <w:b w:val="0"/>
          <w:bCs/>
          <w:snapToGrid w:val="0"/>
          <w:color w:val="auto"/>
          <w:spacing w:val="6"/>
          <w:kern w:val="0"/>
          <w:sz w:val="24"/>
          <w:szCs w:val="24"/>
          <w:highlight w:val="none"/>
        </w:rPr>
        <w:t>，明确绿色金融发展战略与每年绿色贷款增速目标。报告期内，董事会通过召开绿色金融委员会会议审议相关议案，各专门委员会依据各自工作职责认真开展工作；董事会全体董事对本行社会责任报告内容的真实性、准确性和完整性承担个别及连带责任</w:t>
      </w:r>
      <w:r>
        <w:rPr>
          <w:rFonts w:hint="default" w:ascii="仿宋" w:hAnsi="仿宋" w:eastAsia="仿宋" w:cs="仿宋"/>
          <w:b w:val="0"/>
          <w:bCs/>
          <w:snapToGrid w:val="0"/>
          <w:color w:val="auto"/>
          <w:spacing w:val="6"/>
          <w:kern w:val="0"/>
          <w:sz w:val="24"/>
          <w:szCs w:val="24"/>
          <w:highlight w:val="none"/>
        </w:rPr>
        <w:fldChar w:fldCharType="begin"/>
      </w:r>
      <w:r>
        <w:rPr>
          <w:rFonts w:hint="default" w:ascii="仿宋" w:hAnsi="仿宋" w:eastAsia="仿宋" w:cs="仿宋"/>
          <w:b w:val="0"/>
          <w:bCs/>
          <w:snapToGrid w:val="0"/>
          <w:color w:val="auto"/>
          <w:spacing w:val="6"/>
          <w:kern w:val="0"/>
          <w:sz w:val="24"/>
          <w:szCs w:val="24"/>
          <w:highlight w:val="none"/>
        </w:rPr>
        <w:instrText xml:space="preserve"> HYPERLINK "http://www.yznsh.net/yzrcb/625632/625748/1319973/%e6%b1%9f%e8%8b%8f%e6%89%ac%e5%b7%9e%e5%86%9c%e6%9d%91%e5%95%86%e4%b8%9a%e9%93%b6%e8%a1%8c%e8%82%a1%e4%bb%bd%e6%9c%89%e9%99%90%e5%85%ac%e5%8f%b82025%e5%b9%b4%e5%ba%a6%e7%a4%be%e4%bc%9a%e8%b4%a3%e4%bb%bb%e6%8a%a5%e5%91%8a.pdf" \l "2#1" \t "https://chat.deepseek.com/a/chat/s/_blank" </w:instrText>
      </w:r>
      <w:r>
        <w:rPr>
          <w:rFonts w:hint="default" w:ascii="仿宋" w:hAnsi="仿宋" w:eastAsia="仿宋" w:cs="仿宋"/>
          <w:b w:val="0"/>
          <w:bCs/>
          <w:snapToGrid w:val="0"/>
          <w:color w:val="auto"/>
          <w:spacing w:val="6"/>
          <w:kern w:val="0"/>
          <w:sz w:val="24"/>
          <w:szCs w:val="24"/>
          <w:highlight w:val="none"/>
        </w:rPr>
        <w:fldChar w:fldCharType="separate"/>
      </w:r>
      <w:r>
        <w:rPr>
          <w:rFonts w:hint="default" w:ascii="仿宋" w:hAnsi="仿宋" w:eastAsia="仿宋" w:cs="仿宋"/>
          <w:b w:val="0"/>
          <w:bCs/>
          <w:snapToGrid w:val="0"/>
          <w:color w:val="auto"/>
          <w:spacing w:val="6"/>
          <w:kern w:val="0"/>
          <w:sz w:val="24"/>
          <w:szCs w:val="24"/>
          <w:highlight w:val="none"/>
        </w:rPr>
        <w:fldChar w:fldCharType="end"/>
      </w:r>
      <w:r>
        <w:rPr>
          <w:rFonts w:hint="default" w:ascii="仿宋" w:hAnsi="仿宋" w:eastAsia="仿宋" w:cs="仿宋"/>
          <w:b w:val="0"/>
          <w:bCs/>
          <w:snapToGrid w:val="0"/>
          <w:color w:val="auto"/>
          <w:spacing w:val="6"/>
          <w:kern w:val="0"/>
          <w:sz w:val="24"/>
          <w:szCs w:val="24"/>
          <w:highlight w:val="none"/>
        </w:rPr>
        <w:fldChar w:fldCharType="begin"/>
      </w:r>
      <w:r>
        <w:rPr>
          <w:rFonts w:hint="default" w:ascii="仿宋" w:hAnsi="仿宋" w:eastAsia="仿宋" w:cs="仿宋"/>
          <w:b w:val="0"/>
          <w:bCs/>
          <w:snapToGrid w:val="0"/>
          <w:color w:val="auto"/>
          <w:spacing w:val="6"/>
          <w:kern w:val="0"/>
          <w:sz w:val="24"/>
          <w:szCs w:val="24"/>
          <w:highlight w:val="none"/>
        </w:rPr>
        <w:instrText xml:space="preserve"> HYPERLINK "http://www.yznsh.net/yzrcb/625632/625748/1051899/2023061610564987311.pdf" \l "2#1" \t "https://chat.deepseek.com/a/chat/s/_blank" </w:instrText>
      </w:r>
      <w:r>
        <w:rPr>
          <w:rFonts w:hint="default" w:ascii="仿宋" w:hAnsi="仿宋" w:eastAsia="仿宋" w:cs="仿宋"/>
          <w:b w:val="0"/>
          <w:bCs/>
          <w:snapToGrid w:val="0"/>
          <w:color w:val="auto"/>
          <w:spacing w:val="6"/>
          <w:kern w:val="0"/>
          <w:sz w:val="24"/>
          <w:szCs w:val="24"/>
          <w:highlight w:val="none"/>
        </w:rPr>
        <w:fldChar w:fldCharType="separate"/>
      </w:r>
      <w:r>
        <w:rPr>
          <w:rFonts w:hint="default" w:ascii="仿宋" w:hAnsi="仿宋" w:eastAsia="仿宋" w:cs="仿宋"/>
          <w:b w:val="0"/>
          <w:bCs/>
          <w:snapToGrid w:val="0"/>
          <w:color w:val="auto"/>
          <w:spacing w:val="6"/>
          <w:kern w:val="0"/>
          <w:sz w:val="24"/>
          <w:szCs w:val="24"/>
          <w:highlight w:val="none"/>
        </w:rPr>
        <w:fldChar w:fldCharType="end"/>
      </w:r>
      <w:r>
        <w:rPr>
          <w:rFonts w:hint="default" w:ascii="仿宋" w:hAnsi="仿宋" w:eastAsia="仿宋" w:cs="仿宋"/>
          <w:b w:val="0"/>
          <w:bCs/>
          <w:snapToGrid w:val="0"/>
          <w:color w:val="auto"/>
          <w:spacing w:val="6"/>
          <w:kern w:val="0"/>
          <w:sz w:val="24"/>
          <w:szCs w:val="24"/>
          <w:highlight w:val="none"/>
        </w:rPr>
        <w:t>。在董事会统筹领导下，全行形成了“董事会统筹领导—高管层部署推进—职能部门专业指导—分支行贯彻落实”的绿色金融组织体系，将绿色金融与普惠金融、科技金融、养老金融、数字金融共同列为“五篇大文章”统筹推进，充分发挥农村金融主力军和乡村振兴主办行作用，坚定不移贯彻落实绿色发展理念</w:t>
      </w:r>
      <w:r>
        <w:rPr>
          <w:rFonts w:hint="eastAsia" w:ascii="仿宋" w:hAnsi="仿宋" w:eastAsia="仿宋" w:cs="仿宋"/>
          <w:b w:val="0"/>
          <w:bCs/>
          <w:snapToGrid w:val="0"/>
          <w:color w:val="auto"/>
          <w:spacing w:val="6"/>
          <w:kern w:val="0"/>
          <w:sz w:val="24"/>
          <w:szCs w:val="24"/>
          <w:highlight w:val="none"/>
          <w:lang w:eastAsia="zh-CN"/>
        </w:rPr>
        <w:t>。</w:t>
      </w:r>
    </w:p>
    <w:p>
      <w:pPr>
        <w:keepNext w:val="0"/>
        <w:keepLines w:val="0"/>
        <w:pageBreakBefore w:val="0"/>
        <w:widowControl/>
        <w:kinsoku/>
        <w:wordWrap/>
        <w:overflowPunct/>
        <w:topLinePunct w:val="0"/>
        <w:autoSpaceDE w:val="0"/>
        <w:autoSpaceDN w:val="0"/>
        <w:bidi w:val="0"/>
        <w:adjustRightInd w:val="0"/>
        <w:snapToGrid w:val="0"/>
        <w:spacing w:before="149" w:beforeLines="50" w:line="240" w:lineRule="auto"/>
        <w:ind w:firstLine="480" w:firstLineChars="200"/>
        <w:textAlignment w:val="baseline"/>
        <w:outlineLvl w:val="2"/>
        <w:rPr>
          <w:rFonts w:hint="eastAsia" w:ascii="微软雅黑" w:hAnsi="微软雅黑" w:eastAsia="微软雅黑" w:cs="微软雅黑"/>
          <w:b w:val="0"/>
          <w:bCs/>
          <w:color w:val="000000" w:themeColor="text1"/>
          <w:kern w:val="2"/>
          <w:sz w:val="24"/>
          <w:szCs w:val="24"/>
          <w:lang w:val="en-US" w:eastAsia="zh-CN" w:bidi="ar-SA"/>
          <w14:textFill>
            <w14:solidFill>
              <w14:schemeClr w14:val="tx1"/>
            </w14:solidFill>
          </w14:textFill>
        </w:rPr>
      </w:pPr>
      <w:r>
        <w:rPr>
          <w:rFonts w:hint="eastAsia" w:ascii="微软雅黑" w:hAnsi="微软雅黑" w:eastAsia="微软雅黑" w:cs="微软雅黑"/>
          <w:b w:val="0"/>
          <w:bCs/>
          <w:color w:val="000000" w:themeColor="text1"/>
          <w:kern w:val="2"/>
          <w:sz w:val="24"/>
          <w:szCs w:val="24"/>
          <w:lang w:val="en-US" w:eastAsia="zh-CN" w:bidi="ar-SA"/>
          <w14:textFill>
            <w14:solidFill>
              <w14:schemeClr w14:val="tx1"/>
            </w14:solidFill>
          </w14:textFill>
        </w:rPr>
        <w:t>3.1.2高级管理层治理</w:t>
      </w:r>
    </w:p>
    <w:p>
      <w:pPr>
        <w:keepNext w:val="0"/>
        <w:keepLines w:val="0"/>
        <w:pageBreakBefore w:val="0"/>
        <w:widowControl/>
        <w:kinsoku/>
        <w:wordWrap/>
        <w:overflowPunct/>
        <w:topLinePunct w:val="0"/>
        <w:autoSpaceDE w:val="0"/>
        <w:autoSpaceDN w:val="0"/>
        <w:bidi w:val="0"/>
        <w:adjustRightInd w:val="0"/>
        <w:snapToGrid w:val="0"/>
        <w:spacing w:before="217" w:beforeLines="50" w:line="240" w:lineRule="auto"/>
        <w:ind w:firstLine="504"/>
        <w:textAlignment w:val="baseline"/>
        <w:rPr>
          <w:rFonts w:hint="default" w:ascii="仿宋" w:hAnsi="仿宋" w:eastAsia="仿宋" w:cs="仿宋"/>
          <w:b w:val="0"/>
          <w:bCs/>
          <w:snapToGrid w:val="0"/>
          <w:color w:val="auto"/>
          <w:spacing w:val="6"/>
          <w:kern w:val="0"/>
          <w:sz w:val="24"/>
          <w:szCs w:val="24"/>
          <w:highlight w:val="none"/>
        </w:rPr>
      </w:pPr>
      <w:r>
        <w:rPr>
          <w:rFonts w:hint="default" w:ascii="仿宋" w:hAnsi="仿宋" w:eastAsia="仿宋" w:cs="仿宋"/>
          <w:b w:val="0"/>
          <w:bCs/>
          <w:snapToGrid w:val="0"/>
          <w:color w:val="auto"/>
          <w:spacing w:val="6"/>
          <w:kern w:val="0"/>
          <w:sz w:val="24"/>
          <w:szCs w:val="24"/>
          <w:highlight w:val="none"/>
        </w:rPr>
        <w:t>扬州农商银行高级管理层是本行的执行机构，对董事会负责。报告期末，本行行长室由1名行长、4名副行长组成。行长室下设9个专门委员会，职能部门20个、二级职能部门4个及52家营业网点。报告期内，高级管理层认真执行董事会决议，落实年度预算，较好地完成了年度经营任务。</w:t>
      </w:r>
    </w:p>
    <w:p>
      <w:pPr>
        <w:keepNext w:val="0"/>
        <w:keepLines w:val="0"/>
        <w:pageBreakBefore w:val="0"/>
        <w:widowControl/>
        <w:kinsoku/>
        <w:wordWrap/>
        <w:overflowPunct/>
        <w:topLinePunct w:val="0"/>
        <w:autoSpaceDE w:val="0"/>
        <w:autoSpaceDN w:val="0"/>
        <w:bidi w:val="0"/>
        <w:adjustRightInd w:val="0"/>
        <w:snapToGrid w:val="0"/>
        <w:spacing w:before="217" w:beforeLines="50" w:line="240" w:lineRule="auto"/>
        <w:ind w:firstLine="504"/>
        <w:textAlignment w:val="baseline"/>
        <w:rPr>
          <w:rFonts w:hint="default" w:ascii="仿宋" w:hAnsi="仿宋" w:eastAsia="仿宋" w:cs="仿宋"/>
          <w:b w:val="0"/>
          <w:bCs/>
          <w:snapToGrid w:val="0"/>
          <w:color w:val="auto"/>
          <w:spacing w:val="6"/>
          <w:kern w:val="0"/>
          <w:sz w:val="24"/>
          <w:szCs w:val="24"/>
          <w:highlight w:val="none"/>
        </w:rPr>
      </w:pPr>
      <w:r>
        <w:rPr>
          <w:rFonts w:hint="default" w:ascii="仿宋" w:hAnsi="仿宋" w:eastAsia="仿宋" w:cs="仿宋"/>
          <w:b w:val="0"/>
          <w:bCs/>
          <w:snapToGrid w:val="0"/>
          <w:color w:val="auto"/>
          <w:spacing w:val="6"/>
          <w:kern w:val="0"/>
          <w:sz w:val="24"/>
          <w:szCs w:val="24"/>
          <w:highlight w:val="none"/>
        </w:rPr>
        <w:t>在环境与绿色金融工作方面，高级管理层成立绿色金融事业部，作为前台部门的二级部门，配备绿色金融专职管理人员，负责制定适应绿色信贷业务发展特点的信用评级、信贷流程和风险控制等规章制度，不断完善绿色信贷利率定价、内部信用评价、业务审批和内部激励约束机制。绿色金融事业部的主要职责包括：负责制度设计、产品研发与风险管控，明确绿色信贷的支持方向和重点领域，实行差别化、动态化管理，筑牢绿色业务发展基础。在考核激励方面，高级管理层在支行考核中单列绿色金融专项指标，建立以定量指标为主的绩效指标体系，强化过程督导，将考核结果与岗位挂钩；同时出台尽职免责制度，将绿色信贷业务纳入尽职免责范围，提高绿色信贷的不良容忍度。全行按照“董事会统筹领导—高管层部署推进—职能部门专业指导—分支行贯彻落实”的绿色金融组织体系运行，高级管理层通过绿色金融事业部统筹协调全行绿色金融业务发展，定期组织召开绿色金融相关工作会议，对绿色信贷业务发展情况进行监督与评估，确保各项绿色金融重点工作有序推进、持续落实。</w:t>
      </w:r>
    </w:p>
    <w:p>
      <w:pPr>
        <w:pStyle w:val="2"/>
        <w:keepNext w:val="0"/>
        <w:keepLines w:val="0"/>
        <w:pageBreakBefore w:val="0"/>
        <w:widowControl w:val="0"/>
        <w:kinsoku/>
        <w:wordWrap/>
        <w:overflowPunct/>
        <w:topLinePunct w:val="0"/>
        <w:autoSpaceDE/>
        <w:autoSpaceDN/>
        <w:bidi w:val="0"/>
        <w:adjustRightInd/>
        <w:snapToGrid/>
        <w:spacing w:after="0" w:line="240" w:lineRule="auto"/>
        <w:textAlignment w:val="auto"/>
        <w:rPr>
          <w:rFonts w:hint="eastAsia" w:ascii="仿宋" w:hAnsi="仿宋" w:eastAsia="仿宋" w:cs="仿宋"/>
          <w:b w:val="0"/>
          <w:bCs/>
          <w:snapToGrid w:val="0"/>
          <w:color w:val="auto"/>
          <w:spacing w:val="6"/>
          <w:kern w:val="0"/>
          <w:sz w:val="18"/>
          <w:szCs w:val="18"/>
          <w:lang w:val="en-US" w:eastAsia="zh-CN" w:bidi="ar-SA"/>
        </w:rPr>
      </w:pPr>
      <w:bookmarkStart w:id="11" w:name="_Toc7488"/>
    </w:p>
    <w:p>
      <w:pPr>
        <w:keepNext w:val="0"/>
        <w:keepLines w:val="0"/>
        <w:pageBreakBefore w:val="0"/>
        <w:widowControl/>
        <w:numPr>
          <w:ilvl w:val="0"/>
          <w:numId w:val="0"/>
        </w:numPr>
        <w:kinsoku/>
        <w:wordWrap/>
        <w:overflowPunct/>
        <w:topLinePunct w:val="0"/>
        <w:autoSpaceDE w:val="0"/>
        <w:autoSpaceDN w:val="0"/>
        <w:bidi w:val="0"/>
        <w:adjustRightInd w:val="0"/>
        <w:snapToGrid w:val="0"/>
        <w:spacing w:before="149" w:beforeLines="50" w:line="240" w:lineRule="auto"/>
        <w:ind w:left="0" w:leftChars="0" w:firstLine="0" w:firstLineChars="0"/>
        <w:textAlignment w:val="baseline"/>
        <w:outlineLvl w:val="0"/>
        <w:rPr>
          <w:rFonts w:hint="eastAsia" w:ascii="微软雅黑" w:hAnsi="微软雅黑" w:eastAsia="微软雅黑" w:cs="微软雅黑"/>
          <w:b w:val="0"/>
          <w:bCs/>
          <w:color w:val="000000" w:themeColor="text1"/>
          <w:kern w:val="2"/>
          <w:sz w:val="28"/>
          <w:szCs w:val="28"/>
          <w:lang w:val="en-US" w:eastAsia="zh-CN" w:bidi="ar-SA"/>
          <w14:textFill>
            <w14:solidFill>
              <w14:schemeClr w14:val="tx1"/>
            </w14:solidFill>
          </w14:textFill>
        </w:rPr>
      </w:pPr>
      <w:r>
        <w:rPr>
          <w:rFonts w:hint="eastAsia" w:ascii="微软雅黑" w:hAnsi="微软雅黑" w:eastAsia="微软雅黑" w:cs="微软雅黑"/>
          <w:b w:val="0"/>
          <w:bCs/>
          <w:color w:val="000000" w:themeColor="text1"/>
          <w:kern w:val="2"/>
          <w:sz w:val="28"/>
          <w:szCs w:val="28"/>
          <w:lang w:val="en-US" w:eastAsia="zh-CN" w:bidi="ar-SA"/>
          <w14:textFill>
            <w14:solidFill>
              <w14:schemeClr w14:val="tx1"/>
            </w14:solidFill>
          </w14:textFill>
        </w:rPr>
        <w:t>3.2 支行层面</w:t>
      </w:r>
      <w:bookmarkEnd w:id="11"/>
    </w:p>
    <w:p>
      <w:pPr>
        <w:keepNext w:val="0"/>
        <w:keepLines w:val="0"/>
        <w:pageBreakBefore w:val="0"/>
        <w:widowControl/>
        <w:kinsoku/>
        <w:wordWrap/>
        <w:overflowPunct/>
        <w:topLinePunct w:val="0"/>
        <w:autoSpaceDE w:val="0"/>
        <w:autoSpaceDN w:val="0"/>
        <w:bidi w:val="0"/>
        <w:adjustRightInd w:val="0"/>
        <w:snapToGrid w:val="0"/>
        <w:spacing w:before="217" w:beforeLines="50" w:line="240" w:lineRule="auto"/>
        <w:ind w:firstLine="504"/>
        <w:textAlignment w:val="baseline"/>
        <w:rPr>
          <w:rFonts w:hint="default" w:ascii="Times New Roman" w:hAnsi="Times New Roman"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pPr>
      <w:r>
        <w:rPr>
          <w:rFonts w:hint="default" w:ascii="Times New Roman" w:hAnsi="Times New Roman"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t>本行下辖各分支机构（支行）作为绿色金融业务落地执行的基础单元和前沿阵地，严格遵循总行绿色金融战略部署与制度要求，结合各支行服务区域经济特点与客群结构，建立健全支行层面绿色金融工作的组织架构与岗位配置，确保绿色金融理念、政策导向及业务流程在基层经营末梢实现有效传导、精准落地，切实将绿色发展要求贯穿于客户营销、授信调查、贷后管理等各业务环节。</w:t>
      </w:r>
    </w:p>
    <w:p>
      <w:pPr>
        <w:keepNext w:val="0"/>
        <w:keepLines w:val="0"/>
        <w:pageBreakBefore w:val="0"/>
        <w:widowControl/>
        <w:kinsoku/>
        <w:wordWrap/>
        <w:overflowPunct/>
        <w:topLinePunct w:val="0"/>
        <w:autoSpaceDE w:val="0"/>
        <w:autoSpaceDN w:val="0"/>
        <w:bidi w:val="0"/>
        <w:adjustRightInd w:val="0"/>
        <w:snapToGrid w:val="0"/>
        <w:spacing w:before="217" w:beforeLines="50" w:line="240" w:lineRule="auto"/>
        <w:ind w:firstLine="504"/>
        <w:textAlignment w:val="baseline"/>
        <w:rPr>
          <w:rFonts w:hint="default" w:ascii="Times New Roman" w:hAnsi="Times New Roman"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pPr>
      <w:r>
        <w:rPr>
          <w:rFonts w:hint="eastAsia" w:ascii="仿宋" w:hAnsi="仿宋" w:eastAsia="仿宋" w:cs="仿宋"/>
          <w:b w:val="0"/>
          <w:bCs/>
          <w:snapToGrid w:val="0"/>
          <w:color w:val="auto"/>
          <w:spacing w:val="6"/>
          <w:kern w:val="0"/>
          <w:sz w:val="24"/>
          <w:szCs w:val="24"/>
          <w:highlight w:val="none"/>
          <w:lang w:eastAsia="zh-CN"/>
        </w:rPr>
        <w:t>（</w:t>
      </w:r>
      <w:r>
        <w:rPr>
          <w:rFonts w:hint="eastAsia" w:ascii="仿宋" w:hAnsi="仿宋" w:eastAsia="仿宋" w:cs="仿宋"/>
          <w:b w:val="0"/>
          <w:bCs/>
          <w:snapToGrid w:val="0"/>
          <w:color w:val="auto"/>
          <w:spacing w:val="6"/>
          <w:kern w:val="0"/>
          <w:sz w:val="24"/>
          <w:szCs w:val="24"/>
          <w:highlight w:val="none"/>
          <w:lang w:val="en-US" w:eastAsia="zh-CN"/>
        </w:rPr>
        <w:t>1</w:t>
      </w:r>
      <w:r>
        <w:rPr>
          <w:rFonts w:hint="eastAsia" w:ascii="仿宋" w:hAnsi="仿宋" w:eastAsia="仿宋" w:cs="仿宋"/>
          <w:b w:val="0"/>
          <w:bCs/>
          <w:snapToGrid w:val="0"/>
          <w:color w:val="auto"/>
          <w:spacing w:val="6"/>
          <w:kern w:val="0"/>
          <w:sz w:val="24"/>
          <w:szCs w:val="24"/>
          <w:highlight w:val="none"/>
          <w:lang w:eastAsia="zh-CN"/>
        </w:rPr>
        <w:t>）</w:t>
      </w:r>
      <w:r>
        <w:rPr>
          <w:rFonts w:hint="default" w:ascii="Times New Roman" w:hAnsi="Times New Roman"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t>岗位设置与职责分工方面，支行行长为本机构绿色金融工作第一责任人，全面负责绿色金融政策在本支行的贯彻落实，统筹协调支行绿色金融业务发展与风险防控工作。支行分管副行长或业务主管具体牵头绿色金融日常管理工作，负责绿色信贷业务的推进落实、环境与社会风险的初步识别与上报、绿色金融产品的推广营销以及绿色信贷客户群体的培育拓展，形成“一把手负总责、分管领导具体抓、业务岗位直接落实”的基层绿色金融责任体系。支行信贷、运营等岗位人员结合日常业务办理流程，落实客户环境与社会风险信息采集、绿色标识认定等具体操作要求，保障绿色金融管理要求融入业务办理全流程。</w:t>
      </w:r>
    </w:p>
    <w:p>
      <w:pPr>
        <w:keepNext w:val="0"/>
        <w:keepLines w:val="0"/>
        <w:pageBreakBefore w:val="0"/>
        <w:widowControl/>
        <w:kinsoku/>
        <w:wordWrap/>
        <w:overflowPunct/>
        <w:topLinePunct w:val="0"/>
        <w:autoSpaceDE w:val="0"/>
        <w:autoSpaceDN w:val="0"/>
        <w:bidi w:val="0"/>
        <w:adjustRightInd w:val="0"/>
        <w:snapToGrid w:val="0"/>
        <w:spacing w:before="217" w:beforeLines="50" w:line="240" w:lineRule="auto"/>
        <w:ind w:firstLine="504"/>
        <w:textAlignment w:val="baseline"/>
        <w:rPr>
          <w:rFonts w:hint="eastAsia" w:ascii="Times New Roman" w:hAnsi="Times New Roman"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pPr>
      <w:r>
        <w:rPr>
          <w:rFonts w:hint="eastAsia" w:ascii="仿宋" w:hAnsi="仿宋" w:eastAsia="仿宋" w:cs="仿宋"/>
          <w:b w:val="0"/>
          <w:bCs/>
          <w:snapToGrid w:val="0"/>
          <w:color w:val="auto"/>
          <w:spacing w:val="6"/>
          <w:kern w:val="0"/>
          <w:sz w:val="24"/>
          <w:szCs w:val="24"/>
          <w:highlight w:val="none"/>
          <w:lang w:eastAsia="zh-CN"/>
        </w:rPr>
        <w:t>（</w:t>
      </w:r>
      <w:r>
        <w:rPr>
          <w:rFonts w:hint="eastAsia" w:ascii="仿宋" w:hAnsi="仿宋" w:eastAsia="仿宋" w:cs="仿宋"/>
          <w:b w:val="0"/>
          <w:bCs/>
          <w:snapToGrid w:val="0"/>
          <w:color w:val="auto"/>
          <w:spacing w:val="6"/>
          <w:kern w:val="0"/>
          <w:sz w:val="24"/>
          <w:szCs w:val="24"/>
          <w:highlight w:val="none"/>
          <w:lang w:val="en-US" w:eastAsia="zh-CN"/>
        </w:rPr>
        <w:t>2</w:t>
      </w:r>
      <w:r>
        <w:rPr>
          <w:rFonts w:hint="eastAsia" w:ascii="仿宋" w:hAnsi="仿宋" w:eastAsia="仿宋" w:cs="仿宋"/>
          <w:b w:val="0"/>
          <w:bCs/>
          <w:snapToGrid w:val="0"/>
          <w:color w:val="auto"/>
          <w:spacing w:val="6"/>
          <w:kern w:val="0"/>
          <w:sz w:val="24"/>
          <w:szCs w:val="24"/>
          <w:highlight w:val="none"/>
          <w:lang w:eastAsia="zh-CN"/>
        </w:rPr>
        <w:t>）</w:t>
      </w:r>
      <w:r>
        <w:rPr>
          <w:rFonts w:hint="default" w:ascii="Times New Roman" w:hAnsi="Times New Roman"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t>工作机制方面，本行建立“总行统筹—条线推动—支行落实”的三级绿色金融联动工作机制。总行负责绿色金融战略制定、制度建设和考核导向的顶层设计；公司金融部、风险管理部等相关条线部门负责政策传导、资源配置、业务督导与过程管控；各支行作为执行主体，结合属地客户资源与产业特色，因地制宜推进绿色信贷、绿色服务等具体工作。三级主体之间通过定期信息报送、业务调度会议、专项工作督导等方式实现高效协同，形成目标明确、责任清晰、传导顺畅、反馈及时的管理闭环，确保绿色金融各项工作要求自上而下逐级穿透、自下而上反馈改进，持续提升全行绿色金融治理效能与业务发展水平</w:t>
      </w:r>
      <w:r>
        <w:rPr>
          <w:rFonts w:hint="eastAsia" w:ascii="Times New Roman" w:hAnsi="Times New Roman"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t>。</w:t>
      </w:r>
    </w:p>
    <w:p>
      <w:pPr>
        <w:pStyle w:val="2"/>
        <w:keepNext w:val="0"/>
        <w:keepLines w:val="0"/>
        <w:pageBreakBefore w:val="0"/>
        <w:widowControl w:val="0"/>
        <w:kinsoku/>
        <w:wordWrap/>
        <w:overflowPunct/>
        <w:topLinePunct w:val="0"/>
        <w:autoSpaceDE/>
        <w:autoSpaceDN/>
        <w:bidi w:val="0"/>
        <w:adjustRightInd/>
        <w:snapToGrid/>
        <w:spacing w:after="0" w:line="240" w:lineRule="auto"/>
        <w:textAlignment w:val="auto"/>
        <w:rPr>
          <w:rFonts w:hint="eastAsia" w:ascii="仿宋" w:hAnsi="仿宋" w:eastAsia="仿宋" w:cs="仿宋"/>
          <w:b w:val="0"/>
          <w:bCs/>
          <w:snapToGrid w:val="0"/>
          <w:color w:val="auto"/>
          <w:spacing w:val="6"/>
          <w:kern w:val="0"/>
          <w:sz w:val="18"/>
          <w:szCs w:val="18"/>
          <w:lang w:val="en-US" w:eastAsia="zh-CN" w:bidi="ar-SA"/>
        </w:rPr>
      </w:pPr>
      <w:bookmarkStart w:id="12" w:name="_Toc23747"/>
    </w:p>
    <w:p>
      <w:pPr>
        <w:keepNext w:val="0"/>
        <w:keepLines w:val="0"/>
        <w:pageBreakBefore w:val="0"/>
        <w:widowControl/>
        <w:numPr>
          <w:ilvl w:val="0"/>
          <w:numId w:val="0"/>
        </w:numPr>
        <w:kinsoku/>
        <w:wordWrap/>
        <w:overflowPunct/>
        <w:topLinePunct w:val="0"/>
        <w:autoSpaceDE w:val="0"/>
        <w:autoSpaceDN w:val="0"/>
        <w:bidi w:val="0"/>
        <w:adjustRightInd w:val="0"/>
        <w:snapToGrid w:val="0"/>
        <w:spacing w:before="149" w:beforeLines="50" w:line="240" w:lineRule="auto"/>
        <w:ind w:left="0" w:leftChars="0" w:firstLine="0" w:firstLineChars="0"/>
        <w:textAlignment w:val="baseline"/>
        <w:outlineLvl w:val="0"/>
        <w:rPr>
          <w:rFonts w:hint="eastAsia" w:ascii="微软雅黑" w:hAnsi="微软雅黑" w:eastAsia="微软雅黑" w:cs="微软雅黑"/>
          <w:b w:val="0"/>
          <w:bCs/>
          <w:color w:val="000000" w:themeColor="text1"/>
          <w:kern w:val="2"/>
          <w:sz w:val="28"/>
          <w:szCs w:val="28"/>
          <w:lang w:val="en-US" w:eastAsia="zh-CN" w:bidi="ar-SA"/>
          <w14:textFill>
            <w14:solidFill>
              <w14:schemeClr w14:val="tx1"/>
            </w14:solidFill>
          </w14:textFill>
        </w:rPr>
      </w:pPr>
      <w:r>
        <w:rPr>
          <w:rFonts w:hint="eastAsia" w:ascii="微软雅黑" w:hAnsi="微软雅黑" w:eastAsia="微软雅黑" w:cs="微软雅黑"/>
          <w:b w:val="0"/>
          <w:bCs/>
          <w:color w:val="000000" w:themeColor="text1"/>
          <w:kern w:val="2"/>
          <w:sz w:val="28"/>
          <w:szCs w:val="28"/>
          <w:lang w:val="en-US" w:eastAsia="zh-CN" w:bidi="ar-SA"/>
          <w14:textFill>
            <w14:solidFill>
              <w14:schemeClr w14:val="tx1"/>
            </w14:solidFill>
          </w14:textFill>
        </w:rPr>
        <w:t>3.3 绿色金融专营机构</w:t>
      </w:r>
      <w:bookmarkEnd w:id="12"/>
    </w:p>
    <w:p>
      <w:pPr>
        <w:keepNext w:val="0"/>
        <w:keepLines w:val="0"/>
        <w:pageBreakBefore w:val="0"/>
        <w:widowControl/>
        <w:kinsoku/>
        <w:wordWrap/>
        <w:overflowPunct/>
        <w:topLinePunct w:val="0"/>
        <w:autoSpaceDE w:val="0"/>
        <w:autoSpaceDN w:val="0"/>
        <w:bidi w:val="0"/>
        <w:adjustRightInd w:val="0"/>
        <w:snapToGrid w:val="0"/>
        <w:spacing w:before="217" w:beforeLines="50" w:line="240" w:lineRule="auto"/>
        <w:ind w:firstLine="504"/>
        <w:textAlignment w:val="baseline"/>
        <w:rPr>
          <w:rFonts w:hint="default" w:ascii="Times New Roman" w:hAnsi="Times New Roman"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pPr>
      <w:r>
        <w:rPr>
          <w:rFonts w:hint="eastAsia"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t>本行</w:t>
      </w:r>
      <w:r>
        <w:rPr>
          <w:rFonts w:hint="default" w:ascii="Times New Roman" w:hAnsi="Times New Roman"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t>绿色金融专营机构为绿色金融事业部，该部门在高级管理层（经营层）下设立，作为前台部门的二级部门</w:t>
      </w:r>
      <w:r>
        <w:rPr>
          <w:rFonts w:hint="default" w:ascii="Times New Roman" w:hAnsi="Times New Roman"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fldChar w:fldCharType="begin"/>
      </w:r>
      <w:r>
        <w:rPr>
          <w:rFonts w:hint="default" w:ascii="Times New Roman" w:hAnsi="Times New Roman"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instrText xml:space="preserve"> HYPERLINK "https://jsjjb.xhby.net/pc/con/202508/08/content_1474230.html" \t "https://chat.deepseek.com/a/chat/s/_blank" </w:instrText>
      </w:r>
      <w:r>
        <w:rPr>
          <w:rFonts w:hint="default" w:ascii="Times New Roman" w:hAnsi="Times New Roman"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fldChar w:fldCharType="separate"/>
      </w:r>
      <w:r>
        <w:rPr>
          <w:rFonts w:hint="default" w:ascii="Times New Roman" w:hAnsi="Times New Roman"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fldChar w:fldCharType="end"/>
      </w:r>
      <w:r>
        <w:rPr>
          <w:rFonts w:hint="default" w:ascii="Times New Roman" w:hAnsi="Times New Roman"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fldChar w:fldCharType="begin"/>
      </w:r>
      <w:r>
        <w:rPr>
          <w:rFonts w:hint="default" w:ascii="Times New Roman" w:hAnsi="Times New Roman"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instrText xml:space="preserve"> HYPERLINK "http://www.yznsh.net/yzrcb/625632/625748/1051899/2023061610564987311.pdf" \l "2#2" \t "https://chat.deepseek.com/a/chat/s/_blank" </w:instrText>
      </w:r>
      <w:r>
        <w:rPr>
          <w:rFonts w:hint="default" w:ascii="Times New Roman" w:hAnsi="Times New Roman"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fldChar w:fldCharType="separate"/>
      </w:r>
      <w:r>
        <w:rPr>
          <w:rFonts w:hint="default" w:ascii="Times New Roman" w:hAnsi="Times New Roman"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fldChar w:fldCharType="end"/>
      </w:r>
      <w:r>
        <w:rPr>
          <w:rFonts w:hint="default" w:ascii="Times New Roman" w:hAnsi="Times New Roman"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t>。</w:t>
      </w:r>
    </w:p>
    <w:p>
      <w:pPr>
        <w:keepNext w:val="0"/>
        <w:keepLines w:val="0"/>
        <w:pageBreakBefore w:val="0"/>
        <w:widowControl/>
        <w:kinsoku/>
        <w:wordWrap/>
        <w:overflowPunct/>
        <w:topLinePunct w:val="0"/>
        <w:autoSpaceDE w:val="0"/>
        <w:autoSpaceDN w:val="0"/>
        <w:bidi w:val="0"/>
        <w:adjustRightInd w:val="0"/>
        <w:snapToGrid w:val="0"/>
        <w:spacing w:before="149" w:beforeLines="50" w:line="240" w:lineRule="auto"/>
        <w:ind w:firstLine="480" w:firstLineChars="200"/>
        <w:textAlignment w:val="baseline"/>
        <w:outlineLvl w:val="2"/>
        <w:rPr>
          <w:rFonts w:hint="default" w:ascii="微软雅黑" w:hAnsi="微软雅黑" w:eastAsia="微软雅黑" w:cs="微软雅黑"/>
          <w:b w:val="0"/>
          <w:bCs/>
          <w:color w:val="000000" w:themeColor="text1"/>
          <w:kern w:val="2"/>
          <w:sz w:val="24"/>
          <w:szCs w:val="24"/>
          <w:lang w:val="en-US" w:eastAsia="zh-CN" w:bidi="ar-SA"/>
          <w14:textFill>
            <w14:solidFill>
              <w14:schemeClr w14:val="tx1"/>
            </w14:solidFill>
          </w14:textFill>
        </w:rPr>
      </w:pPr>
      <w:r>
        <w:rPr>
          <w:rFonts w:hint="eastAsia" w:ascii="微软雅黑" w:hAnsi="微软雅黑" w:eastAsia="微软雅黑" w:cs="微软雅黑"/>
          <w:b w:val="0"/>
          <w:bCs/>
          <w:color w:val="000000" w:themeColor="text1"/>
          <w:kern w:val="2"/>
          <w:sz w:val="24"/>
          <w:szCs w:val="24"/>
          <w:lang w:val="en-US" w:eastAsia="zh-CN" w:bidi="ar-SA"/>
          <w14:textFill>
            <w14:solidFill>
              <w14:schemeClr w14:val="tx1"/>
            </w14:solidFill>
          </w14:textFill>
        </w:rPr>
        <w:t>3.3.1</w:t>
      </w:r>
      <w:r>
        <w:rPr>
          <w:rFonts w:hint="default" w:ascii="微软雅黑" w:hAnsi="微软雅黑" w:eastAsia="微软雅黑" w:cs="微软雅黑"/>
          <w:b w:val="0"/>
          <w:bCs/>
          <w:color w:val="000000" w:themeColor="text1"/>
          <w:kern w:val="2"/>
          <w:sz w:val="24"/>
          <w:szCs w:val="24"/>
          <w:lang w:val="en-US" w:eastAsia="zh-CN" w:bidi="ar-SA"/>
          <w14:textFill>
            <w14:solidFill>
              <w14:schemeClr w14:val="tx1"/>
            </w14:solidFill>
          </w14:textFill>
        </w:rPr>
        <w:t>管理职位与人员配置</w:t>
      </w:r>
    </w:p>
    <w:p>
      <w:pPr>
        <w:keepNext w:val="0"/>
        <w:keepLines w:val="0"/>
        <w:pageBreakBefore w:val="0"/>
        <w:widowControl/>
        <w:kinsoku/>
        <w:wordWrap/>
        <w:overflowPunct/>
        <w:topLinePunct w:val="0"/>
        <w:autoSpaceDE w:val="0"/>
        <w:autoSpaceDN w:val="0"/>
        <w:bidi w:val="0"/>
        <w:adjustRightInd w:val="0"/>
        <w:snapToGrid w:val="0"/>
        <w:spacing w:before="217" w:beforeLines="50" w:line="240" w:lineRule="auto"/>
        <w:ind w:firstLine="504"/>
        <w:textAlignment w:val="baseline"/>
        <w:rPr>
          <w:rFonts w:hint="default" w:ascii="Times New Roman" w:hAnsi="Times New Roman"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pPr>
      <w:r>
        <w:rPr>
          <w:rFonts w:hint="default" w:ascii="Times New Roman" w:hAnsi="Times New Roman"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t>绿色金融事业部配备绿色金融专职管理人员</w:t>
      </w:r>
      <w:r>
        <w:rPr>
          <w:rFonts w:hint="default" w:ascii="Times New Roman" w:hAnsi="Times New Roman"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fldChar w:fldCharType="begin"/>
      </w:r>
      <w:r>
        <w:rPr>
          <w:rFonts w:hint="default" w:ascii="Times New Roman" w:hAnsi="Times New Roman"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instrText xml:space="preserve"> HYPERLINK "https://jsjjb.xhby.net/pc/con/202508/08/content_1474230.html" \t "https://chat.deepseek.com/a/chat/s/_blank" </w:instrText>
      </w:r>
      <w:r>
        <w:rPr>
          <w:rFonts w:hint="default" w:ascii="Times New Roman" w:hAnsi="Times New Roman"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fldChar w:fldCharType="separate"/>
      </w:r>
      <w:r>
        <w:rPr>
          <w:rFonts w:hint="default" w:ascii="Times New Roman" w:hAnsi="Times New Roman"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fldChar w:fldCharType="end"/>
      </w:r>
      <w:r>
        <w:rPr>
          <w:rFonts w:hint="default" w:ascii="Times New Roman" w:hAnsi="Times New Roman"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fldChar w:fldCharType="begin"/>
      </w:r>
      <w:r>
        <w:rPr>
          <w:rFonts w:hint="default" w:ascii="Times New Roman" w:hAnsi="Times New Roman"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instrText xml:space="preserve"> HYPERLINK "http://www.yznsh.net/yzrcb/625632/625748/1051899/2023061610564987311.pdf" \l "2#2" \t "https://chat.deepseek.com/a/chat/s/_blank" </w:instrText>
      </w:r>
      <w:r>
        <w:rPr>
          <w:rFonts w:hint="default" w:ascii="Times New Roman" w:hAnsi="Times New Roman"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fldChar w:fldCharType="separate"/>
      </w:r>
      <w:r>
        <w:rPr>
          <w:rFonts w:hint="default" w:ascii="Times New Roman" w:hAnsi="Times New Roman"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fldChar w:fldCharType="end"/>
      </w:r>
      <w:r>
        <w:rPr>
          <w:rFonts w:hint="default" w:ascii="Times New Roman" w:hAnsi="Times New Roman"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t>，负责绿色金融的日常运营与业务推进。专职管理团队的主要职责包括：制定适应绿色信贷业务发展特点的信用评级、信贷流程和风险控制等规章制度，不断完善绿色信贷利率定价、内部信用评价、业务审批和内部激励约束机制</w:t>
      </w:r>
      <w:r>
        <w:rPr>
          <w:rFonts w:hint="default" w:ascii="Times New Roman" w:hAnsi="Times New Roman"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fldChar w:fldCharType="begin"/>
      </w:r>
      <w:r>
        <w:rPr>
          <w:rFonts w:hint="default" w:ascii="Times New Roman" w:hAnsi="Times New Roman"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instrText xml:space="preserve"> HYPERLINK "https://jsjjb.xhby.net/pc/con/202508/08/content_1474230.html" \t "https://chat.deepseek.com/a/chat/s/_blank" </w:instrText>
      </w:r>
      <w:r>
        <w:rPr>
          <w:rFonts w:hint="default" w:ascii="Times New Roman" w:hAnsi="Times New Roman"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fldChar w:fldCharType="separate"/>
      </w:r>
      <w:r>
        <w:rPr>
          <w:rFonts w:hint="default" w:ascii="Times New Roman" w:hAnsi="Times New Roman"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fldChar w:fldCharType="end"/>
      </w:r>
      <w:r>
        <w:rPr>
          <w:rFonts w:hint="default" w:ascii="Times New Roman" w:hAnsi="Times New Roman"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t>。</w:t>
      </w:r>
    </w:p>
    <w:p>
      <w:pPr>
        <w:keepNext w:val="0"/>
        <w:keepLines w:val="0"/>
        <w:pageBreakBefore w:val="0"/>
        <w:widowControl/>
        <w:kinsoku/>
        <w:wordWrap/>
        <w:overflowPunct/>
        <w:topLinePunct w:val="0"/>
        <w:autoSpaceDE w:val="0"/>
        <w:autoSpaceDN w:val="0"/>
        <w:bidi w:val="0"/>
        <w:adjustRightInd w:val="0"/>
        <w:snapToGrid w:val="0"/>
        <w:spacing w:before="149" w:beforeLines="50" w:line="240" w:lineRule="auto"/>
        <w:ind w:firstLine="480" w:firstLineChars="200"/>
        <w:textAlignment w:val="baseline"/>
        <w:outlineLvl w:val="2"/>
        <w:rPr>
          <w:rFonts w:hint="default" w:ascii="微软雅黑" w:hAnsi="微软雅黑" w:eastAsia="微软雅黑" w:cs="微软雅黑"/>
          <w:b w:val="0"/>
          <w:bCs/>
          <w:color w:val="000000" w:themeColor="text1"/>
          <w:kern w:val="2"/>
          <w:sz w:val="24"/>
          <w:szCs w:val="24"/>
          <w:lang w:val="en-US" w:eastAsia="zh-CN" w:bidi="ar-SA"/>
          <w14:textFill>
            <w14:solidFill>
              <w14:schemeClr w14:val="tx1"/>
            </w14:solidFill>
          </w14:textFill>
        </w:rPr>
      </w:pPr>
      <w:r>
        <w:rPr>
          <w:rFonts w:hint="eastAsia" w:ascii="微软雅黑" w:hAnsi="微软雅黑" w:eastAsia="微软雅黑" w:cs="微软雅黑"/>
          <w:b w:val="0"/>
          <w:bCs/>
          <w:color w:val="000000" w:themeColor="text1"/>
          <w:kern w:val="2"/>
          <w:sz w:val="24"/>
          <w:szCs w:val="24"/>
          <w:lang w:val="en-US" w:eastAsia="zh-CN" w:bidi="ar-SA"/>
          <w14:textFill>
            <w14:solidFill>
              <w14:schemeClr w14:val="tx1"/>
            </w14:solidFill>
          </w14:textFill>
        </w:rPr>
        <w:t>3.3.2</w:t>
      </w:r>
      <w:r>
        <w:rPr>
          <w:rFonts w:hint="default" w:ascii="微软雅黑" w:hAnsi="微软雅黑" w:eastAsia="微软雅黑" w:cs="微软雅黑"/>
          <w:b w:val="0"/>
          <w:bCs/>
          <w:color w:val="000000" w:themeColor="text1"/>
          <w:kern w:val="2"/>
          <w:sz w:val="24"/>
          <w:szCs w:val="24"/>
          <w:lang w:val="en-US" w:eastAsia="zh-CN" w:bidi="ar-SA"/>
          <w14:textFill>
            <w14:solidFill>
              <w14:schemeClr w14:val="tx1"/>
            </w14:solidFill>
          </w14:textFill>
        </w:rPr>
        <w:t>内设机构与职责</w:t>
      </w:r>
    </w:p>
    <w:p>
      <w:pPr>
        <w:keepNext w:val="0"/>
        <w:keepLines w:val="0"/>
        <w:pageBreakBefore w:val="0"/>
        <w:widowControl/>
        <w:kinsoku/>
        <w:wordWrap/>
        <w:overflowPunct/>
        <w:topLinePunct w:val="0"/>
        <w:autoSpaceDE w:val="0"/>
        <w:autoSpaceDN w:val="0"/>
        <w:bidi w:val="0"/>
        <w:adjustRightInd w:val="0"/>
        <w:snapToGrid w:val="0"/>
        <w:spacing w:before="217" w:beforeLines="50" w:line="240" w:lineRule="auto"/>
        <w:ind w:firstLine="504"/>
        <w:textAlignment w:val="baseline"/>
        <w:rPr>
          <w:rFonts w:hint="default" w:ascii="Times New Roman" w:hAnsi="Times New Roman"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pPr>
      <w:r>
        <w:rPr>
          <w:rFonts w:hint="default" w:ascii="Times New Roman" w:hAnsi="Times New Roman"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t>绿色金融事业部作为绿色金融专营机构，承担以下核心职能</w:t>
      </w:r>
      <w:r>
        <w:rPr>
          <w:rFonts w:hint="default" w:ascii="Times New Roman" w:hAnsi="Times New Roman"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fldChar w:fldCharType="begin"/>
      </w:r>
      <w:r>
        <w:rPr>
          <w:rFonts w:hint="default" w:ascii="Times New Roman" w:hAnsi="Times New Roman"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instrText xml:space="preserve"> HYPERLINK "https://jsjjb.xhby.net/pc/con/202508/08/content_1474230.html" \t "https://chat.deepseek.com/a/chat/s/_blank" </w:instrText>
      </w:r>
      <w:r>
        <w:rPr>
          <w:rFonts w:hint="default" w:ascii="Times New Roman" w:hAnsi="Times New Roman"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fldChar w:fldCharType="separate"/>
      </w:r>
      <w:r>
        <w:rPr>
          <w:rFonts w:hint="default" w:ascii="Times New Roman" w:hAnsi="Times New Roman"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fldChar w:fldCharType="end"/>
      </w:r>
      <w:r>
        <w:rPr>
          <w:rFonts w:hint="default" w:ascii="Times New Roman" w:hAnsi="Times New Roman"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fldChar w:fldCharType="begin"/>
      </w:r>
      <w:r>
        <w:rPr>
          <w:rFonts w:hint="default" w:ascii="Times New Roman" w:hAnsi="Times New Roman"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instrText xml:space="preserve"> HYPERLINK "http://www.yznsh.net/yzrcb/625632/625748/1051899/2023061610564987311.pdf" \l "2#2" \t "https://chat.deepseek.com/a/chat/s/_blank" </w:instrText>
      </w:r>
      <w:r>
        <w:rPr>
          <w:rFonts w:hint="default" w:ascii="Times New Roman" w:hAnsi="Times New Roman"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fldChar w:fldCharType="separate"/>
      </w:r>
      <w:r>
        <w:rPr>
          <w:rFonts w:hint="default" w:ascii="Times New Roman" w:hAnsi="Times New Roman"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fldChar w:fldCharType="end"/>
      </w:r>
      <w:r>
        <w:rPr>
          <w:rFonts w:hint="default" w:ascii="Times New Roman" w:hAnsi="Times New Roman"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t>：</w:t>
      </w:r>
    </w:p>
    <w:p>
      <w:pPr>
        <w:keepNext w:val="0"/>
        <w:keepLines w:val="0"/>
        <w:pageBreakBefore w:val="0"/>
        <w:widowControl/>
        <w:kinsoku/>
        <w:wordWrap/>
        <w:overflowPunct/>
        <w:topLinePunct w:val="0"/>
        <w:autoSpaceDE w:val="0"/>
        <w:autoSpaceDN w:val="0"/>
        <w:bidi w:val="0"/>
        <w:adjustRightInd w:val="0"/>
        <w:snapToGrid w:val="0"/>
        <w:spacing w:before="217" w:beforeLines="50" w:line="240" w:lineRule="auto"/>
        <w:ind w:firstLine="504"/>
        <w:textAlignment w:val="baseline"/>
        <w:rPr>
          <w:rFonts w:hint="default" w:ascii="Times New Roman" w:hAnsi="Times New Roman"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pPr>
      <w:r>
        <w:rPr>
          <w:rFonts w:hint="eastAsia"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t>（1）</w:t>
      </w:r>
      <w:r>
        <w:rPr>
          <w:rFonts w:hint="default" w:ascii="Times New Roman" w:hAnsi="Times New Roman"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t>制度建设：负责制定绿色信贷相关规章制度和授信政策指引；</w:t>
      </w:r>
    </w:p>
    <w:p>
      <w:pPr>
        <w:keepNext w:val="0"/>
        <w:keepLines w:val="0"/>
        <w:pageBreakBefore w:val="0"/>
        <w:widowControl/>
        <w:kinsoku/>
        <w:wordWrap/>
        <w:overflowPunct/>
        <w:topLinePunct w:val="0"/>
        <w:autoSpaceDE w:val="0"/>
        <w:autoSpaceDN w:val="0"/>
        <w:bidi w:val="0"/>
        <w:adjustRightInd w:val="0"/>
        <w:snapToGrid w:val="0"/>
        <w:spacing w:before="217" w:beforeLines="50" w:line="240" w:lineRule="auto"/>
        <w:ind w:firstLine="504"/>
        <w:textAlignment w:val="baseline"/>
        <w:rPr>
          <w:rFonts w:hint="default" w:ascii="Times New Roman" w:hAnsi="Times New Roman"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pPr>
      <w:r>
        <w:rPr>
          <w:rFonts w:hint="eastAsia"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t>（2）</w:t>
      </w:r>
      <w:r>
        <w:rPr>
          <w:rFonts w:hint="default" w:ascii="Times New Roman" w:hAnsi="Times New Roman"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t>产品研发：负责绿色金融产品的创新设计与研发；</w:t>
      </w:r>
    </w:p>
    <w:p>
      <w:pPr>
        <w:keepNext w:val="0"/>
        <w:keepLines w:val="0"/>
        <w:pageBreakBefore w:val="0"/>
        <w:widowControl/>
        <w:kinsoku/>
        <w:wordWrap/>
        <w:overflowPunct/>
        <w:topLinePunct w:val="0"/>
        <w:autoSpaceDE w:val="0"/>
        <w:autoSpaceDN w:val="0"/>
        <w:bidi w:val="0"/>
        <w:adjustRightInd w:val="0"/>
        <w:snapToGrid w:val="0"/>
        <w:spacing w:before="217" w:beforeLines="50" w:line="240" w:lineRule="auto"/>
        <w:ind w:firstLine="504"/>
        <w:textAlignment w:val="baseline"/>
        <w:rPr>
          <w:rFonts w:hint="default" w:ascii="Times New Roman" w:hAnsi="Times New Roman"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pPr>
      <w:r>
        <w:rPr>
          <w:rFonts w:hint="eastAsia"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t>（3）</w:t>
      </w:r>
      <w:r>
        <w:rPr>
          <w:rFonts w:hint="default" w:ascii="Times New Roman" w:hAnsi="Times New Roman"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t>风险管控：负责绿色信贷业务的风险识别、评估与控制；</w:t>
      </w:r>
    </w:p>
    <w:p>
      <w:pPr>
        <w:keepNext w:val="0"/>
        <w:keepLines w:val="0"/>
        <w:pageBreakBefore w:val="0"/>
        <w:widowControl/>
        <w:kinsoku/>
        <w:wordWrap/>
        <w:overflowPunct/>
        <w:topLinePunct w:val="0"/>
        <w:autoSpaceDE w:val="0"/>
        <w:autoSpaceDN w:val="0"/>
        <w:bidi w:val="0"/>
        <w:adjustRightInd w:val="0"/>
        <w:snapToGrid w:val="0"/>
        <w:spacing w:before="217" w:beforeLines="50" w:line="240" w:lineRule="auto"/>
        <w:ind w:firstLine="504"/>
        <w:textAlignment w:val="baseline"/>
        <w:rPr>
          <w:rFonts w:hint="default" w:ascii="Times New Roman" w:hAnsi="Times New Roman"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pPr>
      <w:r>
        <w:rPr>
          <w:rFonts w:hint="eastAsia"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t>（4）</w:t>
      </w:r>
      <w:r>
        <w:rPr>
          <w:rFonts w:hint="default" w:ascii="Times New Roman" w:hAnsi="Times New Roman"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t>业务</w:t>
      </w:r>
      <w:r>
        <w:rPr>
          <w:rFonts w:hint="eastAsia"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t>管理</w:t>
      </w:r>
      <w:r>
        <w:rPr>
          <w:rFonts w:hint="default" w:ascii="Times New Roman" w:hAnsi="Times New Roman"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t>：负责绿色信贷业务的</w:t>
      </w:r>
      <w:r>
        <w:rPr>
          <w:rFonts w:hint="eastAsia"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t>核实</w:t>
      </w:r>
      <w:r>
        <w:rPr>
          <w:rFonts w:hint="default" w:ascii="Times New Roman" w:hAnsi="Times New Roman"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t>管理；</w:t>
      </w:r>
    </w:p>
    <w:p>
      <w:pPr>
        <w:keepNext w:val="0"/>
        <w:keepLines w:val="0"/>
        <w:pageBreakBefore w:val="0"/>
        <w:widowControl/>
        <w:kinsoku/>
        <w:wordWrap/>
        <w:overflowPunct/>
        <w:topLinePunct w:val="0"/>
        <w:autoSpaceDE w:val="0"/>
        <w:autoSpaceDN w:val="0"/>
        <w:bidi w:val="0"/>
        <w:adjustRightInd w:val="0"/>
        <w:snapToGrid w:val="0"/>
        <w:spacing w:before="217" w:beforeLines="50" w:line="240" w:lineRule="auto"/>
        <w:ind w:firstLine="504"/>
        <w:textAlignment w:val="baseline"/>
        <w:rPr>
          <w:rFonts w:hint="default" w:ascii="Times New Roman" w:hAnsi="Times New Roman"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pPr>
      <w:r>
        <w:rPr>
          <w:rFonts w:hint="eastAsia"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t>（5）</w:t>
      </w:r>
      <w:r>
        <w:rPr>
          <w:rFonts w:hint="default" w:ascii="Times New Roman" w:hAnsi="Times New Roman"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t>考核激励：配合完善绿色信贷内部激励约束机制。</w:t>
      </w:r>
    </w:p>
    <w:p>
      <w:pPr>
        <w:keepNext w:val="0"/>
        <w:keepLines w:val="0"/>
        <w:pageBreakBefore w:val="0"/>
        <w:widowControl/>
        <w:kinsoku/>
        <w:wordWrap/>
        <w:overflowPunct/>
        <w:topLinePunct w:val="0"/>
        <w:autoSpaceDE w:val="0"/>
        <w:autoSpaceDN w:val="0"/>
        <w:bidi w:val="0"/>
        <w:adjustRightInd w:val="0"/>
        <w:snapToGrid w:val="0"/>
        <w:spacing w:before="149" w:beforeLines="50" w:line="240" w:lineRule="auto"/>
        <w:ind w:firstLine="480" w:firstLineChars="200"/>
        <w:textAlignment w:val="baseline"/>
        <w:outlineLvl w:val="2"/>
        <w:rPr>
          <w:rFonts w:hint="default" w:ascii="微软雅黑" w:hAnsi="微软雅黑" w:eastAsia="微软雅黑" w:cs="微软雅黑"/>
          <w:b w:val="0"/>
          <w:bCs/>
          <w:color w:val="000000" w:themeColor="text1"/>
          <w:kern w:val="2"/>
          <w:sz w:val="24"/>
          <w:szCs w:val="24"/>
          <w:lang w:val="en-US" w:eastAsia="zh-CN" w:bidi="ar-SA"/>
          <w14:textFill>
            <w14:solidFill>
              <w14:schemeClr w14:val="tx1"/>
            </w14:solidFill>
          </w14:textFill>
        </w:rPr>
      </w:pPr>
      <w:r>
        <w:rPr>
          <w:rFonts w:hint="eastAsia" w:ascii="微软雅黑" w:hAnsi="微软雅黑" w:eastAsia="微软雅黑" w:cs="微软雅黑"/>
          <w:b w:val="0"/>
          <w:bCs/>
          <w:color w:val="000000" w:themeColor="text1"/>
          <w:kern w:val="2"/>
          <w:sz w:val="24"/>
          <w:szCs w:val="24"/>
          <w:lang w:val="en-US" w:eastAsia="zh-CN" w:bidi="ar-SA"/>
          <w14:textFill>
            <w14:solidFill>
              <w14:schemeClr w14:val="tx1"/>
            </w14:solidFill>
          </w14:textFill>
        </w:rPr>
        <w:t>3.3.3</w:t>
      </w:r>
      <w:r>
        <w:rPr>
          <w:rFonts w:hint="default" w:ascii="微软雅黑" w:hAnsi="微软雅黑" w:eastAsia="微软雅黑" w:cs="微软雅黑"/>
          <w:b w:val="0"/>
          <w:bCs/>
          <w:color w:val="000000" w:themeColor="text1"/>
          <w:kern w:val="2"/>
          <w:sz w:val="24"/>
          <w:szCs w:val="24"/>
          <w:lang w:val="en-US" w:eastAsia="zh-CN" w:bidi="ar-SA"/>
          <w14:textFill>
            <w14:solidFill>
              <w14:schemeClr w14:val="tx1"/>
            </w14:solidFill>
          </w14:textFill>
        </w:rPr>
        <w:t>运行机制</w:t>
      </w:r>
    </w:p>
    <w:p>
      <w:pPr>
        <w:keepNext w:val="0"/>
        <w:keepLines w:val="0"/>
        <w:pageBreakBefore w:val="0"/>
        <w:widowControl/>
        <w:kinsoku/>
        <w:wordWrap/>
        <w:overflowPunct/>
        <w:topLinePunct w:val="0"/>
        <w:autoSpaceDE w:val="0"/>
        <w:autoSpaceDN w:val="0"/>
        <w:bidi w:val="0"/>
        <w:adjustRightInd w:val="0"/>
        <w:snapToGrid w:val="0"/>
        <w:spacing w:before="217" w:beforeLines="50" w:line="240" w:lineRule="auto"/>
        <w:ind w:firstLine="504"/>
        <w:textAlignment w:val="baseline"/>
        <w:rPr>
          <w:rFonts w:hint="eastAsia" w:ascii="仿宋" w:hAnsi="仿宋" w:eastAsia="仿宋" w:cs="仿宋"/>
          <w:b w:val="0"/>
          <w:bCs/>
          <w:snapToGrid w:val="0"/>
          <w:color w:val="000000" w:themeColor="text1"/>
          <w:spacing w:val="6"/>
          <w:kern w:val="0"/>
          <w:sz w:val="24"/>
          <w:szCs w:val="24"/>
          <w:lang w:val="en-US" w:eastAsia="zh-CN"/>
          <w14:textFill>
            <w14:solidFill>
              <w14:schemeClr w14:val="tx1"/>
            </w14:solidFill>
          </w14:textFill>
        </w:rPr>
      </w:pPr>
      <w:r>
        <w:rPr>
          <w:rFonts w:hint="default" w:ascii="Times New Roman" w:hAnsi="Times New Roman"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t>绿色金融事业部在高级管理层领导下，按照“董事会统筹领导—高管层部署推进—职能部门专业指导—分支行贯彻落实”的绿色金融组织体系运行。高级管理层通过绿色金融事业部统筹协调全行绿色金融业务发展，定期组织召开绿色金融相关工作会议，对绿色信贷业务发展情况进行监督与评估，确保各项绿色金融重点工作有序推进、持续落实。在考核激励方面，绿色金融事业部配合在支行考核中单列绿色金融专项指标</w:t>
      </w:r>
      <w:r>
        <w:rPr>
          <w:rFonts w:hint="default" w:ascii="Times New Roman" w:hAnsi="Times New Roman"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fldChar w:fldCharType="begin"/>
      </w:r>
      <w:r>
        <w:rPr>
          <w:rFonts w:hint="default" w:ascii="Times New Roman" w:hAnsi="Times New Roman"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instrText xml:space="preserve"> HYPERLINK "https://jsjjb.xhby.net/pc/con/202508/08/content_1474230.html" \t "https://chat.deepseek.com/a/chat/s/_blank" </w:instrText>
      </w:r>
      <w:r>
        <w:rPr>
          <w:rFonts w:hint="default" w:ascii="Times New Roman" w:hAnsi="Times New Roman"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fldChar w:fldCharType="separate"/>
      </w:r>
      <w:r>
        <w:rPr>
          <w:rFonts w:hint="default" w:ascii="Times New Roman" w:hAnsi="Times New Roman"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fldChar w:fldCharType="end"/>
      </w:r>
      <w:r>
        <w:rPr>
          <w:rFonts w:hint="default" w:ascii="Times New Roman" w:hAnsi="Times New Roman"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t>，建立以定量指标为主的绩效指标体系，将考核结果与岗位挂钩</w:t>
      </w:r>
      <w:r>
        <w:rPr>
          <w:rFonts w:hint="default" w:ascii="Times New Roman" w:hAnsi="Times New Roman"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fldChar w:fldCharType="begin"/>
      </w:r>
      <w:r>
        <w:rPr>
          <w:rFonts w:hint="default" w:ascii="Times New Roman" w:hAnsi="Times New Roman"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instrText xml:space="preserve"> HYPERLINK "https://jsjjb.xhby.net/pc/con/202508/08/content_1474230.html" \t "https://chat.deepseek.com/a/chat/s/_blank" </w:instrText>
      </w:r>
      <w:r>
        <w:rPr>
          <w:rFonts w:hint="default" w:ascii="Times New Roman" w:hAnsi="Times New Roman"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fldChar w:fldCharType="separate"/>
      </w:r>
      <w:r>
        <w:rPr>
          <w:rFonts w:hint="default" w:ascii="Times New Roman" w:hAnsi="Times New Roman"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fldChar w:fldCharType="end"/>
      </w:r>
      <w:r>
        <w:rPr>
          <w:rFonts w:hint="default" w:ascii="Times New Roman" w:hAnsi="Times New Roman"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t>；同时配合出台尽职免责制度，将绿色信贷业务纳入尽职免责范围，提高绿色信贷的不良容忍度</w:t>
      </w:r>
      <w:r>
        <w:rPr>
          <w:rFonts w:hint="default" w:ascii="Times New Roman" w:hAnsi="Times New Roman"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fldChar w:fldCharType="begin"/>
      </w:r>
      <w:r>
        <w:rPr>
          <w:rFonts w:hint="default" w:ascii="Times New Roman" w:hAnsi="Times New Roman"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instrText xml:space="preserve"> HYPERLINK "https://jsjjb.xhby.net/pc/con/202508/08/content_1474230.html" \t "https://chat.deepseek.com/a/chat/s/_blank" </w:instrText>
      </w:r>
      <w:r>
        <w:rPr>
          <w:rFonts w:hint="default" w:ascii="Times New Roman" w:hAnsi="Times New Roman"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fldChar w:fldCharType="separate"/>
      </w:r>
      <w:r>
        <w:rPr>
          <w:rFonts w:hint="default" w:ascii="Times New Roman" w:hAnsi="Times New Roman"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fldChar w:fldCharType="end"/>
      </w:r>
      <w:r>
        <w:rPr>
          <w:rFonts w:hint="default" w:ascii="Times New Roman" w:hAnsi="Times New Roman"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t>。</w:t>
      </w:r>
    </w:p>
    <w:p>
      <w:pPr>
        <w:keepNext w:val="0"/>
        <w:keepLines w:val="0"/>
        <w:pageBreakBefore w:val="0"/>
        <w:widowControl/>
        <w:kinsoku/>
        <w:wordWrap/>
        <w:overflowPunct/>
        <w:topLinePunct w:val="0"/>
        <w:autoSpaceDE w:val="0"/>
        <w:autoSpaceDN w:val="0"/>
        <w:bidi w:val="0"/>
        <w:adjustRightInd w:val="0"/>
        <w:snapToGrid w:val="0"/>
        <w:spacing w:before="149" w:beforeLines="50" w:line="240" w:lineRule="auto"/>
        <w:ind w:firstLine="504" w:firstLineChars="200"/>
        <w:textAlignment w:val="baseline"/>
        <w:rPr>
          <w:rFonts w:hint="eastAsia" w:ascii="仿宋" w:hAnsi="仿宋" w:eastAsia="仿宋" w:cs="仿宋"/>
          <w:b w:val="0"/>
          <w:bCs/>
          <w:snapToGrid w:val="0"/>
          <w:color w:val="000000" w:themeColor="text1"/>
          <w:spacing w:val="6"/>
          <w:kern w:val="0"/>
          <w:sz w:val="24"/>
          <w:szCs w:val="24"/>
          <w:lang w:val="en-US" w:eastAsia="zh-CN"/>
          <w14:textFill>
            <w14:solidFill>
              <w14:schemeClr w14:val="tx1"/>
            </w14:solidFill>
          </w14:textFill>
        </w:rPr>
      </w:pPr>
    </w:p>
    <w:p>
      <w:pPr>
        <w:keepNext w:val="0"/>
        <w:keepLines w:val="0"/>
        <w:pageBreakBefore w:val="0"/>
        <w:widowControl/>
        <w:kinsoku/>
        <w:wordWrap/>
        <w:overflowPunct/>
        <w:topLinePunct w:val="0"/>
        <w:autoSpaceDE w:val="0"/>
        <w:autoSpaceDN w:val="0"/>
        <w:bidi w:val="0"/>
        <w:adjustRightInd w:val="0"/>
        <w:snapToGrid w:val="0"/>
        <w:spacing w:before="149" w:beforeLines="50" w:line="240" w:lineRule="auto"/>
        <w:ind w:firstLine="504" w:firstLineChars="200"/>
        <w:textAlignment w:val="baseline"/>
        <w:rPr>
          <w:rFonts w:hint="eastAsia" w:ascii="仿宋" w:hAnsi="仿宋" w:eastAsia="仿宋" w:cs="仿宋"/>
          <w:b w:val="0"/>
          <w:bCs/>
          <w:snapToGrid w:val="0"/>
          <w:color w:val="000000" w:themeColor="text1"/>
          <w:spacing w:val="6"/>
          <w:kern w:val="0"/>
          <w:sz w:val="24"/>
          <w:szCs w:val="24"/>
          <w:lang w:val="en-US" w:eastAsia="zh-CN"/>
          <w14:textFill>
            <w14:solidFill>
              <w14:schemeClr w14:val="tx1"/>
            </w14:solidFill>
          </w14:textFill>
        </w:rPr>
      </w:pPr>
    </w:p>
    <w:p>
      <w:pPr>
        <w:pStyle w:val="2"/>
        <w:keepNext w:val="0"/>
        <w:keepLines w:val="0"/>
        <w:pageBreakBefore w:val="0"/>
        <w:kinsoku/>
        <w:wordWrap/>
        <w:overflowPunct/>
        <w:topLinePunct w:val="0"/>
        <w:bidi w:val="0"/>
        <w:rPr>
          <w:rFonts w:hint="eastAsia"/>
          <w:b w:val="0"/>
          <w:bCs/>
          <w:lang w:val="en-US" w:eastAsia="zh-CN"/>
        </w:rPr>
      </w:pPr>
    </w:p>
    <w:p>
      <w:pPr>
        <w:keepNext w:val="0"/>
        <w:keepLines w:val="0"/>
        <w:pageBreakBefore w:val="0"/>
        <w:kinsoku/>
        <w:wordWrap/>
        <w:overflowPunct/>
        <w:topLinePunct w:val="0"/>
        <w:bidi w:val="0"/>
        <w:rPr>
          <w:rFonts w:hint="eastAsia" w:ascii="仿宋" w:hAnsi="仿宋" w:eastAsia="仿宋" w:cs="仿宋"/>
          <w:b w:val="0"/>
          <w:bCs/>
          <w:snapToGrid w:val="0"/>
          <w:color w:val="000000" w:themeColor="text1"/>
          <w:spacing w:val="6"/>
          <w:kern w:val="0"/>
          <w:sz w:val="24"/>
          <w:szCs w:val="24"/>
          <w:lang w:val="en-US" w:eastAsia="zh-CN"/>
          <w14:textFill>
            <w14:solidFill>
              <w14:schemeClr w14:val="tx1"/>
            </w14:solidFill>
          </w14:textFill>
        </w:rPr>
      </w:pPr>
      <w:r>
        <w:rPr>
          <w:rFonts w:hint="eastAsia" w:ascii="仿宋" w:hAnsi="仿宋" w:eastAsia="仿宋" w:cs="仿宋"/>
          <w:b w:val="0"/>
          <w:bCs/>
          <w:snapToGrid w:val="0"/>
          <w:color w:val="000000" w:themeColor="text1"/>
          <w:spacing w:val="6"/>
          <w:kern w:val="0"/>
          <w:sz w:val="24"/>
          <w:szCs w:val="24"/>
          <w:lang w:val="en-US" w:eastAsia="zh-CN"/>
          <w14:textFill>
            <w14:solidFill>
              <w14:schemeClr w14:val="tx1"/>
            </w14:solidFill>
          </w14:textFill>
        </w:rPr>
        <w:br w:type="page"/>
      </w:r>
    </w:p>
    <w:p>
      <w:pPr>
        <w:pStyle w:val="18"/>
        <w:keepNext w:val="0"/>
        <w:keepLines w:val="0"/>
        <w:pageBreakBefore w:val="0"/>
        <w:numPr>
          <w:ilvl w:val="0"/>
          <w:numId w:val="6"/>
        </w:numPr>
        <w:tabs>
          <w:tab w:val="right" w:leader="dot" w:pos="9897"/>
        </w:tabs>
        <w:kinsoku/>
        <w:wordWrap/>
        <w:overflowPunct/>
        <w:topLinePunct w:val="0"/>
        <w:bidi w:val="0"/>
        <w:adjustRightInd w:val="0"/>
        <w:snapToGrid w:val="0"/>
        <w:spacing w:line="240" w:lineRule="auto"/>
        <w:ind w:left="0" w:leftChars="0" w:firstLine="0" w:firstLineChars="0"/>
        <w:jc w:val="center"/>
        <w:outlineLvl w:val="0"/>
        <w:rPr>
          <w:rFonts w:hint="eastAsia" w:ascii="微软雅黑" w:hAnsi="微软雅黑" w:eastAsia="微软雅黑" w:cs="微软雅黑"/>
          <w:b w:val="0"/>
          <w:bCs/>
          <w:color w:val="00B050"/>
          <w:kern w:val="2"/>
          <w:sz w:val="32"/>
          <w:szCs w:val="32"/>
          <w:lang w:val="en-US" w:eastAsia="zh-CN" w:bidi="ar-SA"/>
        </w:rPr>
      </w:pPr>
      <w:bookmarkStart w:id="13" w:name="_Toc1333"/>
      <w:r>
        <w:rPr>
          <w:rFonts w:hint="eastAsia" w:ascii="微软雅黑" w:hAnsi="微软雅黑" w:eastAsia="微软雅黑" w:cs="微软雅黑"/>
          <w:b w:val="0"/>
          <w:bCs/>
          <w:color w:val="00B050"/>
          <w:kern w:val="2"/>
          <w:sz w:val="32"/>
          <w:szCs w:val="32"/>
          <w:lang w:val="en-US" w:eastAsia="zh-CN" w:bidi="ar-SA"/>
        </w:rPr>
        <w:t>环境相关政策制度</w:t>
      </w:r>
      <w:bookmarkEnd w:id="13"/>
    </w:p>
    <w:p>
      <w:pPr>
        <w:keepNext w:val="0"/>
        <w:keepLines w:val="0"/>
        <w:pageBreakBefore w:val="0"/>
        <w:widowControl/>
        <w:numPr>
          <w:ilvl w:val="0"/>
          <w:numId w:val="0"/>
        </w:numPr>
        <w:kinsoku/>
        <w:wordWrap/>
        <w:overflowPunct/>
        <w:topLinePunct w:val="0"/>
        <w:autoSpaceDE w:val="0"/>
        <w:autoSpaceDN w:val="0"/>
        <w:bidi w:val="0"/>
        <w:adjustRightInd w:val="0"/>
        <w:snapToGrid w:val="0"/>
        <w:spacing w:before="149" w:beforeLines="50" w:line="240" w:lineRule="auto"/>
        <w:ind w:left="0" w:leftChars="0" w:firstLine="0" w:firstLineChars="0"/>
        <w:textAlignment w:val="baseline"/>
        <w:outlineLvl w:val="0"/>
        <w:rPr>
          <w:rFonts w:hint="eastAsia" w:ascii="微软雅黑" w:hAnsi="微软雅黑" w:eastAsia="微软雅黑" w:cs="微软雅黑"/>
          <w:b w:val="0"/>
          <w:bCs/>
          <w:color w:val="000000" w:themeColor="text1"/>
          <w:kern w:val="2"/>
          <w:sz w:val="28"/>
          <w:szCs w:val="28"/>
          <w:lang w:val="en-US" w:eastAsia="zh-CN" w:bidi="ar-SA"/>
          <w14:textFill>
            <w14:solidFill>
              <w14:schemeClr w14:val="tx1"/>
            </w14:solidFill>
          </w14:textFill>
        </w:rPr>
      </w:pPr>
      <w:bookmarkStart w:id="14" w:name="_Toc22815"/>
      <w:r>
        <w:rPr>
          <w:rFonts w:hint="eastAsia" w:ascii="微软雅黑" w:hAnsi="微软雅黑" w:eastAsia="微软雅黑" w:cs="微软雅黑"/>
          <w:b w:val="0"/>
          <w:bCs/>
          <w:color w:val="000000" w:themeColor="text1"/>
          <w:kern w:val="2"/>
          <w:sz w:val="28"/>
          <w:szCs w:val="28"/>
          <w:lang w:val="en-US" w:eastAsia="zh-CN" w:bidi="ar-SA"/>
          <w14:textFill>
            <w14:solidFill>
              <w14:schemeClr w14:val="tx1"/>
            </w14:solidFill>
          </w14:textFill>
        </w:rPr>
        <w:t>4.1 落实国家战略部署</w:t>
      </w:r>
      <w:bookmarkEnd w:id="14"/>
    </w:p>
    <w:p>
      <w:pPr>
        <w:keepNext w:val="0"/>
        <w:keepLines w:val="0"/>
        <w:pageBreakBefore w:val="0"/>
        <w:widowControl/>
        <w:kinsoku/>
        <w:wordWrap/>
        <w:overflowPunct/>
        <w:topLinePunct w:val="0"/>
        <w:autoSpaceDE w:val="0"/>
        <w:autoSpaceDN w:val="0"/>
        <w:bidi w:val="0"/>
        <w:adjustRightInd w:val="0"/>
        <w:snapToGrid w:val="0"/>
        <w:spacing w:before="217" w:beforeLines="50" w:line="240" w:lineRule="auto"/>
        <w:ind w:firstLine="504"/>
        <w:textAlignment w:val="baseline"/>
        <w:rPr>
          <w:rFonts w:hint="eastAsia"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pPr>
      <w:r>
        <w:rPr>
          <w:rFonts w:hint="default"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t>报告期内，国家层面密集出台了一系列对银行业绿色金融发展具有重大影响的政策法规与标准规范，为本行绿色金融业务开展提供了明确的政策指引和制度依据。</w:t>
      </w:r>
    </w:p>
    <w:p>
      <w:pPr>
        <w:keepNext w:val="0"/>
        <w:keepLines w:val="0"/>
        <w:pageBreakBefore w:val="0"/>
        <w:widowControl/>
        <w:kinsoku/>
        <w:wordWrap/>
        <w:overflowPunct/>
        <w:topLinePunct w:val="0"/>
        <w:autoSpaceDE w:val="0"/>
        <w:autoSpaceDN w:val="0"/>
        <w:bidi w:val="0"/>
        <w:adjustRightInd w:val="0"/>
        <w:snapToGrid w:val="0"/>
        <w:spacing w:before="217" w:beforeLines="50" w:line="240" w:lineRule="auto"/>
        <w:ind w:firstLine="504"/>
        <w:textAlignment w:val="baseline"/>
        <w:rPr>
          <w:rFonts w:hint="default"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pPr>
      <w:r>
        <w:rPr>
          <w:rFonts w:hint="default"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t>（</w:t>
      </w:r>
      <w:r>
        <w:rPr>
          <w:rFonts w:hint="eastAsia"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t>1</w:t>
      </w:r>
      <w:r>
        <w:rPr>
          <w:rFonts w:hint="default"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t>）绿色金融高质量发展顶层设计。 2025年1月17日，国家金融监督管理总局、中国人民银行联合印发《银行业保险业绿色金融高质量发展实施方案》（金办发〔2025〕15号），明确未来5年基本建成制度完善、监管有力、标准领先、组织完备、产品丰富、风控严格的绿色金融体系。2025年3月5日，国务院办公厅印发《关于做好金融“五篇大文章”的指导意见》（国办发〔2025〕8号），要求坚持“先立后破”，完善绿色金融体系，统筹对绿色发展和低碳转型的支持，健全绿色金融标准体系。</w:t>
      </w:r>
    </w:p>
    <w:p>
      <w:pPr>
        <w:keepNext w:val="0"/>
        <w:keepLines w:val="0"/>
        <w:pageBreakBefore w:val="0"/>
        <w:widowControl/>
        <w:kinsoku/>
        <w:wordWrap/>
        <w:overflowPunct/>
        <w:topLinePunct w:val="0"/>
        <w:autoSpaceDE w:val="0"/>
        <w:autoSpaceDN w:val="0"/>
        <w:bidi w:val="0"/>
        <w:adjustRightInd w:val="0"/>
        <w:snapToGrid w:val="0"/>
        <w:spacing w:before="217" w:beforeLines="50" w:line="240" w:lineRule="auto"/>
        <w:ind w:firstLine="504"/>
        <w:textAlignment w:val="baseline"/>
        <w:rPr>
          <w:rFonts w:hint="default"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pPr>
      <w:r>
        <w:rPr>
          <w:rFonts w:hint="default"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t>（</w:t>
      </w:r>
      <w:r>
        <w:rPr>
          <w:rFonts w:hint="eastAsia"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t>2</w:t>
      </w:r>
      <w:r>
        <w:rPr>
          <w:rFonts w:hint="default"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t>）绿色金融标准体系持续健全。 2025年6月27日，中国人民银行、金融监管总局、中国证监会联合印发《绿色金融支持项目目录（2025年版）》（银发〔2025〕132号），统一了各类绿色金融产品界定范围，将绿色金融支持领域从生产环节拓展至贸易、消费环节，首次实现“生产—流通—消费”全链条覆盖，自2025年10月1日起施行。2025年3月28日，国家市场监督管理总局、国家标准化管理委员会发布全国首个绿色金融国家标准《绿色金融术语》（GB/T45490-2025），为金融支持绿色低碳发展提供了基础性通用标准。</w:t>
      </w:r>
    </w:p>
    <w:p>
      <w:pPr>
        <w:keepNext w:val="0"/>
        <w:keepLines w:val="0"/>
        <w:pageBreakBefore w:val="0"/>
        <w:widowControl/>
        <w:kinsoku/>
        <w:wordWrap/>
        <w:overflowPunct/>
        <w:topLinePunct w:val="0"/>
        <w:autoSpaceDE w:val="0"/>
        <w:autoSpaceDN w:val="0"/>
        <w:bidi w:val="0"/>
        <w:adjustRightInd w:val="0"/>
        <w:snapToGrid w:val="0"/>
        <w:spacing w:before="217" w:beforeLines="50" w:line="240" w:lineRule="auto"/>
        <w:ind w:firstLine="504"/>
        <w:textAlignment w:val="baseline"/>
        <w:rPr>
          <w:rFonts w:hint="default"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pPr>
      <w:r>
        <w:rPr>
          <w:rFonts w:hint="default"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t>（</w:t>
      </w:r>
      <w:r>
        <w:rPr>
          <w:rFonts w:hint="eastAsia"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t>3</w:t>
      </w:r>
      <w:r>
        <w:rPr>
          <w:rFonts w:hint="default"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t>）碳市场建设与绿色制造专项政策。 2025年8月，中共中央办公厅、国务院办公厅发布《关于推进绿色低碳转型加强全国碳市场建设的意见》，明确支持银行等金融机构规范开展碳质押融资业务，稳妥推进金融机构在依法合规、风险可控前提下参与全国碳市场交易。2025年12月，工业和信息化部办公厅、中国人民银行办公厅联合发布《关于用好绿色金融政策支持绿色工厂建设的通知》（工信厅联节函〔2025〕490号），要求进一步建立完善绿色金融支持绿色工厂工作机制。</w:t>
      </w:r>
    </w:p>
    <w:p>
      <w:pPr>
        <w:pStyle w:val="2"/>
        <w:keepNext w:val="0"/>
        <w:keepLines w:val="0"/>
        <w:pageBreakBefore w:val="0"/>
        <w:widowControl w:val="0"/>
        <w:kinsoku/>
        <w:wordWrap/>
        <w:overflowPunct/>
        <w:topLinePunct w:val="0"/>
        <w:autoSpaceDE/>
        <w:autoSpaceDN/>
        <w:bidi w:val="0"/>
        <w:adjustRightInd/>
        <w:snapToGrid/>
        <w:spacing w:after="0" w:line="240" w:lineRule="auto"/>
        <w:textAlignment w:val="auto"/>
        <w:rPr>
          <w:rFonts w:hint="eastAsia" w:ascii="仿宋" w:hAnsi="仿宋" w:eastAsia="仿宋" w:cs="仿宋"/>
          <w:b w:val="0"/>
          <w:bCs/>
          <w:snapToGrid w:val="0"/>
          <w:color w:val="auto"/>
          <w:spacing w:val="6"/>
          <w:kern w:val="0"/>
          <w:sz w:val="18"/>
          <w:szCs w:val="18"/>
          <w:lang w:val="en-US" w:eastAsia="zh-CN" w:bidi="ar-SA"/>
        </w:rPr>
      </w:pPr>
      <w:bookmarkStart w:id="15" w:name="_Toc12049"/>
    </w:p>
    <w:p>
      <w:pPr>
        <w:keepNext w:val="0"/>
        <w:keepLines w:val="0"/>
        <w:pageBreakBefore w:val="0"/>
        <w:widowControl/>
        <w:numPr>
          <w:ilvl w:val="0"/>
          <w:numId w:val="0"/>
        </w:numPr>
        <w:kinsoku/>
        <w:wordWrap/>
        <w:overflowPunct/>
        <w:topLinePunct w:val="0"/>
        <w:autoSpaceDE w:val="0"/>
        <w:autoSpaceDN w:val="0"/>
        <w:bidi w:val="0"/>
        <w:adjustRightInd w:val="0"/>
        <w:snapToGrid w:val="0"/>
        <w:spacing w:before="149" w:beforeLines="50" w:line="240" w:lineRule="auto"/>
        <w:ind w:left="0" w:leftChars="0" w:firstLine="0" w:firstLineChars="0"/>
        <w:textAlignment w:val="baseline"/>
        <w:outlineLvl w:val="0"/>
        <w:rPr>
          <w:rFonts w:hint="eastAsia" w:ascii="微软雅黑" w:hAnsi="微软雅黑" w:eastAsia="微软雅黑" w:cs="微软雅黑"/>
          <w:b w:val="0"/>
          <w:bCs/>
          <w:color w:val="000000" w:themeColor="text1"/>
          <w:kern w:val="2"/>
          <w:sz w:val="28"/>
          <w:szCs w:val="28"/>
          <w:lang w:val="en-US" w:eastAsia="zh-CN" w:bidi="ar-SA"/>
          <w14:textFill>
            <w14:solidFill>
              <w14:schemeClr w14:val="tx1"/>
            </w14:solidFill>
          </w14:textFill>
        </w:rPr>
      </w:pPr>
      <w:r>
        <w:rPr>
          <w:rFonts w:hint="eastAsia" w:ascii="微软雅黑" w:hAnsi="微软雅黑" w:eastAsia="微软雅黑" w:cs="微软雅黑"/>
          <w:b w:val="0"/>
          <w:bCs/>
          <w:color w:val="000000" w:themeColor="text1"/>
          <w:kern w:val="2"/>
          <w:sz w:val="28"/>
          <w:szCs w:val="28"/>
          <w:lang w:val="en-US" w:eastAsia="zh-CN" w:bidi="ar-SA"/>
          <w14:textFill>
            <w14:solidFill>
              <w14:schemeClr w14:val="tx1"/>
            </w14:solidFill>
          </w14:textFill>
        </w:rPr>
        <w:t>4.2 地方政策落地执行</w:t>
      </w:r>
      <w:bookmarkEnd w:id="15"/>
    </w:p>
    <w:p>
      <w:pPr>
        <w:keepNext w:val="0"/>
        <w:keepLines w:val="0"/>
        <w:pageBreakBefore w:val="0"/>
        <w:widowControl/>
        <w:kinsoku/>
        <w:wordWrap/>
        <w:overflowPunct/>
        <w:topLinePunct w:val="0"/>
        <w:autoSpaceDE w:val="0"/>
        <w:autoSpaceDN w:val="0"/>
        <w:bidi w:val="0"/>
        <w:adjustRightInd w:val="0"/>
        <w:snapToGrid w:val="0"/>
        <w:spacing w:before="149" w:beforeLines="50" w:line="240" w:lineRule="auto"/>
        <w:ind w:firstLine="480" w:firstLineChars="200"/>
        <w:textAlignment w:val="baseline"/>
        <w:outlineLvl w:val="2"/>
        <w:rPr>
          <w:rFonts w:hint="default" w:ascii="微软雅黑" w:hAnsi="微软雅黑" w:eastAsia="微软雅黑" w:cs="微软雅黑"/>
          <w:b w:val="0"/>
          <w:bCs/>
          <w:color w:val="000000" w:themeColor="text1"/>
          <w:kern w:val="2"/>
          <w:sz w:val="24"/>
          <w:szCs w:val="24"/>
          <w:lang w:val="en-US" w:eastAsia="zh-CN" w:bidi="ar-SA"/>
          <w14:textFill>
            <w14:solidFill>
              <w14:schemeClr w14:val="tx1"/>
            </w14:solidFill>
          </w14:textFill>
        </w:rPr>
      </w:pPr>
      <w:r>
        <w:rPr>
          <w:rFonts w:hint="eastAsia" w:ascii="微软雅黑" w:hAnsi="微软雅黑" w:eastAsia="微软雅黑" w:cs="微软雅黑"/>
          <w:b w:val="0"/>
          <w:bCs/>
          <w:color w:val="000000" w:themeColor="text1"/>
          <w:kern w:val="2"/>
          <w:sz w:val="24"/>
          <w:szCs w:val="24"/>
          <w:lang w:val="en-US" w:eastAsia="zh-CN" w:bidi="ar-SA"/>
          <w14:textFill>
            <w14:solidFill>
              <w14:schemeClr w14:val="tx1"/>
            </w14:solidFill>
          </w14:textFill>
        </w:rPr>
        <w:t>4.2.1</w:t>
      </w:r>
      <w:r>
        <w:rPr>
          <w:rFonts w:hint="default" w:ascii="微软雅黑" w:hAnsi="微软雅黑" w:eastAsia="微软雅黑" w:cs="微软雅黑"/>
          <w:b w:val="0"/>
          <w:bCs/>
          <w:color w:val="000000" w:themeColor="text1"/>
          <w:kern w:val="2"/>
          <w:sz w:val="24"/>
          <w:szCs w:val="24"/>
          <w:lang w:val="en-US" w:eastAsia="zh-CN" w:bidi="ar-SA"/>
          <w14:textFill>
            <w14:solidFill>
              <w14:schemeClr w14:val="tx1"/>
            </w14:solidFill>
          </w14:textFill>
        </w:rPr>
        <w:t>江苏省及扬州市环境与绿色金融相关政策法规</w:t>
      </w:r>
    </w:p>
    <w:p>
      <w:pPr>
        <w:keepNext w:val="0"/>
        <w:keepLines w:val="0"/>
        <w:pageBreakBefore w:val="0"/>
        <w:widowControl/>
        <w:kinsoku/>
        <w:wordWrap/>
        <w:overflowPunct/>
        <w:topLinePunct w:val="0"/>
        <w:autoSpaceDE w:val="0"/>
        <w:autoSpaceDN w:val="0"/>
        <w:bidi w:val="0"/>
        <w:adjustRightInd w:val="0"/>
        <w:snapToGrid w:val="0"/>
        <w:spacing w:before="217" w:beforeLines="50" w:line="240" w:lineRule="auto"/>
        <w:ind w:firstLine="504"/>
        <w:textAlignment w:val="baseline"/>
        <w:rPr>
          <w:rFonts w:hint="default"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pPr>
      <w:r>
        <w:rPr>
          <w:rFonts w:hint="default"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t>报告期内，江苏省在绿色金融和转型金融领域出台了一系列具有重要影响的政策法规与标准规范，为本行绿色金融业务开展提供了明确的省级政策指引。</w:t>
      </w:r>
    </w:p>
    <w:p>
      <w:pPr>
        <w:keepNext w:val="0"/>
        <w:keepLines w:val="0"/>
        <w:pageBreakBefore w:val="0"/>
        <w:widowControl/>
        <w:kinsoku/>
        <w:wordWrap/>
        <w:overflowPunct/>
        <w:topLinePunct w:val="0"/>
        <w:autoSpaceDE w:val="0"/>
        <w:autoSpaceDN w:val="0"/>
        <w:bidi w:val="0"/>
        <w:adjustRightInd w:val="0"/>
        <w:snapToGrid w:val="0"/>
        <w:spacing w:before="217" w:beforeLines="50" w:line="240" w:lineRule="auto"/>
        <w:ind w:firstLine="504"/>
        <w:textAlignment w:val="baseline"/>
        <w:rPr>
          <w:rFonts w:hint="default"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pPr>
      <w:r>
        <w:rPr>
          <w:rFonts w:hint="eastAsia" w:ascii="仿宋" w:hAnsi="仿宋" w:eastAsia="仿宋" w:cs="仿宋"/>
          <w:b w:val="0"/>
          <w:bCs/>
          <w:snapToGrid w:val="0"/>
          <w:color w:val="auto"/>
          <w:spacing w:val="6"/>
          <w:kern w:val="0"/>
          <w:sz w:val="24"/>
          <w:szCs w:val="24"/>
          <w:highlight w:val="none"/>
          <w:lang w:eastAsia="zh-CN"/>
        </w:rPr>
        <w:t>（</w:t>
      </w:r>
      <w:r>
        <w:rPr>
          <w:rFonts w:hint="eastAsia" w:ascii="仿宋" w:hAnsi="仿宋" w:eastAsia="仿宋" w:cs="仿宋"/>
          <w:b w:val="0"/>
          <w:bCs/>
          <w:snapToGrid w:val="0"/>
          <w:color w:val="auto"/>
          <w:spacing w:val="6"/>
          <w:kern w:val="0"/>
          <w:sz w:val="24"/>
          <w:szCs w:val="24"/>
          <w:highlight w:val="none"/>
          <w:lang w:val="en-US" w:eastAsia="zh-CN"/>
        </w:rPr>
        <w:t>1</w:t>
      </w:r>
      <w:r>
        <w:rPr>
          <w:rFonts w:hint="eastAsia" w:ascii="仿宋" w:hAnsi="仿宋" w:eastAsia="仿宋" w:cs="仿宋"/>
          <w:b w:val="0"/>
          <w:bCs/>
          <w:snapToGrid w:val="0"/>
          <w:color w:val="auto"/>
          <w:spacing w:val="6"/>
          <w:kern w:val="0"/>
          <w:sz w:val="24"/>
          <w:szCs w:val="24"/>
          <w:highlight w:val="none"/>
          <w:lang w:eastAsia="zh-CN"/>
        </w:rPr>
        <w:t>）</w:t>
      </w:r>
      <w:r>
        <w:rPr>
          <w:rFonts w:hint="default"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t>构建转型金融支持体系。 2025年1月，人民银行江苏省分行联合省工信厅、省发改委、省生态环境厅印发《关于构建转型金融支持体系助力江苏全面绿色低碳转型的通知》（苏银发〔2025〕9号）</w:t>
      </w:r>
      <w:r>
        <w:rPr>
          <w:rFonts w:hint="default"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fldChar w:fldCharType="begin"/>
      </w:r>
      <w:r>
        <w:rPr>
          <w:rFonts w:hint="default"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instrText xml:space="preserve"> HYPERLINK "https://nanjing.pbc.gov.cn/nanjing/117525/2026010508560944591/index.html" \l "1#1" \t "https://chat.deepseek.com/a/chat/s/_blank" </w:instrText>
      </w:r>
      <w:r>
        <w:rPr>
          <w:rFonts w:hint="default"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fldChar w:fldCharType="separate"/>
      </w:r>
      <w:r>
        <w:rPr>
          <w:rFonts w:hint="default"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fldChar w:fldCharType="end"/>
      </w:r>
      <w:r>
        <w:rPr>
          <w:rFonts w:hint="default"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t>。该文件针对江苏产业结构偏重、能源结构偏煤的特点，建立了包括1个转型融资主体认定评价标准、N个转型金融支持经济活动目录、N种转型金融产品和服务模式的“1+N+N”转型金融支持体系</w:t>
      </w:r>
      <w:r>
        <w:rPr>
          <w:rFonts w:hint="default"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fldChar w:fldCharType="begin"/>
      </w:r>
      <w:r>
        <w:rPr>
          <w:rFonts w:hint="default"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instrText xml:space="preserve"> HYPERLINK "https://nanjing.pbc.gov.cn/nanjing/117525/2026010508560944591/index.html" \l "1#1" \t "https://chat.deepseek.com/a/chat/s/_blank" </w:instrText>
      </w:r>
      <w:r>
        <w:rPr>
          <w:rFonts w:hint="default"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fldChar w:fldCharType="separate"/>
      </w:r>
      <w:r>
        <w:rPr>
          <w:rFonts w:hint="default"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fldChar w:fldCharType="end"/>
      </w:r>
      <w:r>
        <w:rPr>
          <w:rFonts w:hint="default"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t>。其中，以化工行业为切入点制定了《化工产业转型融资主体认定与评价规范》</w:t>
      </w:r>
      <w:r>
        <w:rPr>
          <w:rFonts w:hint="default"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fldChar w:fldCharType="begin"/>
      </w:r>
      <w:r>
        <w:rPr>
          <w:rFonts w:hint="default"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instrText xml:space="preserve"> HYPERLINK "https://nanjing.pbc.gov.cn/nanjing/117525/2026010508560944591/index.html" \l "1#1" \t "https://chat.deepseek.com/a/chat/s/_blank" </w:instrText>
      </w:r>
      <w:r>
        <w:rPr>
          <w:rFonts w:hint="default"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fldChar w:fldCharType="separate"/>
      </w:r>
      <w:r>
        <w:rPr>
          <w:rFonts w:hint="default"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fldChar w:fldCharType="end"/>
      </w:r>
      <w:r>
        <w:rPr>
          <w:rFonts w:hint="default"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t>，并发布《江苏省转型融资主体认定评价标准》</w:t>
      </w:r>
      <w:r>
        <w:rPr>
          <w:rFonts w:hint="default"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fldChar w:fldCharType="begin"/>
      </w:r>
      <w:r>
        <w:rPr>
          <w:rFonts w:hint="default"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instrText xml:space="preserve"> HYPERLINK "https://nanjing.pbc.gov.cn/nanjing/117525/2026010508560944591/index.html" \l "1#1" \t "https://chat.deepseek.com/a/chat/s/_blank" </w:instrText>
      </w:r>
      <w:r>
        <w:rPr>
          <w:rFonts w:hint="default"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fldChar w:fldCharType="separate"/>
      </w:r>
      <w:r>
        <w:rPr>
          <w:rFonts w:hint="default"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fldChar w:fldCharType="end"/>
      </w:r>
      <w:r>
        <w:rPr>
          <w:rFonts w:hint="default"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t>；联合相关部门建立“江苏省转型融资主体库”，构建认定评价、实时公布、动态更新的常态化机制</w:t>
      </w:r>
      <w:r>
        <w:rPr>
          <w:rFonts w:hint="default"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fldChar w:fldCharType="begin"/>
      </w:r>
      <w:r>
        <w:rPr>
          <w:rFonts w:hint="default"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instrText xml:space="preserve"> HYPERLINK "https://nanjing.pbc.gov.cn/nanjing/117525/2026010508560944591/index.html" \l "1#1" \t "https://chat.deepseek.com/a/chat/s/_blank" </w:instrText>
      </w:r>
      <w:r>
        <w:rPr>
          <w:rFonts w:hint="default"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fldChar w:fldCharType="separate"/>
      </w:r>
      <w:r>
        <w:rPr>
          <w:rFonts w:hint="default"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fldChar w:fldCharType="end"/>
      </w:r>
      <w:r>
        <w:rPr>
          <w:rFonts w:hint="default"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t>；联合省工信厅制定《江苏省石化和化学工业重点领域转型金融支持目录》，并有序向钢铁、有色、印染、航运、建材、造纸等其他高碳行业拓展</w:t>
      </w:r>
      <w:r>
        <w:rPr>
          <w:rFonts w:hint="default"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fldChar w:fldCharType="begin"/>
      </w:r>
      <w:r>
        <w:rPr>
          <w:rFonts w:hint="default"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instrText xml:space="preserve"> HYPERLINK "https://nanjing.pbc.gov.cn/nanjing/117525/2026010508560944591/index.html" \l "1#1" \t "https://chat.deepseek.com/a/chat/s/_blank" </w:instrText>
      </w:r>
      <w:r>
        <w:rPr>
          <w:rFonts w:hint="default"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fldChar w:fldCharType="separate"/>
      </w:r>
      <w:r>
        <w:rPr>
          <w:rFonts w:hint="default"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fldChar w:fldCharType="end"/>
      </w:r>
      <w:r>
        <w:rPr>
          <w:rFonts w:hint="default"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t>。</w:t>
      </w:r>
    </w:p>
    <w:p>
      <w:pPr>
        <w:keepNext w:val="0"/>
        <w:keepLines w:val="0"/>
        <w:pageBreakBefore w:val="0"/>
        <w:widowControl/>
        <w:kinsoku/>
        <w:wordWrap/>
        <w:overflowPunct/>
        <w:topLinePunct w:val="0"/>
        <w:autoSpaceDE w:val="0"/>
        <w:autoSpaceDN w:val="0"/>
        <w:bidi w:val="0"/>
        <w:adjustRightInd w:val="0"/>
        <w:snapToGrid w:val="0"/>
        <w:spacing w:before="217" w:beforeLines="50" w:line="240" w:lineRule="auto"/>
        <w:ind w:firstLine="504"/>
        <w:textAlignment w:val="baseline"/>
        <w:rPr>
          <w:rFonts w:hint="default"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pPr>
      <w:r>
        <w:rPr>
          <w:rFonts w:hint="eastAsia" w:ascii="仿宋" w:hAnsi="仿宋" w:eastAsia="仿宋" w:cs="仿宋"/>
          <w:b w:val="0"/>
          <w:bCs/>
          <w:snapToGrid w:val="0"/>
          <w:color w:val="auto"/>
          <w:spacing w:val="6"/>
          <w:kern w:val="0"/>
          <w:sz w:val="24"/>
          <w:szCs w:val="24"/>
          <w:highlight w:val="none"/>
          <w:lang w:eastAsia="zh-CN"/>
        </w:rPr>
        <w:t>（</w:t>
      </w:r>
      <w:r>
        <w:rPr>
          <w:rFonts w:hint="eastAsia" w:ascii="仿宋" w:hAnsi="仿宋" w:eastAsia="仿宋" w:cs="仿宋"/>
          <w:b w:val="0"/>
          <w:bCs/>
          <w:snapToGrid w:val="0"/>
          <w:color w:val="auto"/>
          <w:spacing w:val="6"/>
          <w:kern w:val="0"/>
          <w:sz w:val="24"/>
          <w:szCs w:val="24"/>
          <w:highlight w:val="none"/>
          <w:lang w:val="en-US" w:eastAsia="zh-CN"/>
        </w:rPr>
        <w:t>2</w:t>
      </w:r>
      <w:r>
        <w:rPr>
          <w:rFonts w:hint="eastAsia" w:ascii="仿宋" w:hAnsi="仿宋" w:eastAsia="仿宋" w:cs="仿宋"/>
          <w:b w:val="0"/>
          <w:bCs/>
          <w:snapToGrid w:val="0"/>
          <w:color w:val="auto"/>
          <w:spacing w:val="6"/>
          <w:kern w:val="0"/>
          <w:sz w:val="24"/>
          <w:szCs w:val="24"/>
          <w:highlight w:val="none"/>
          <w:lang w:eastAsia="zh-CN"/>
        </w:rPr>
        <w:t>）</w:t>
      </w:r>
      <w:r>
        <w:rPr>
          <w:rFonts w:hint="default"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t>出台金融“五篇大文章”行动方案。 2025年9月，人民银行江苏省分行会同省委金融办、江苏金融监管局、江苏证监局等部门印发《扎实做好金融“五篇大文章”助力江苏经济高质量发展行动方案》</w:t>
      </w:r>
      <w:r>
        <w:rPr>
          <w:rFonts w:hint="default"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fldChar w:fldCharType="begin"/>
      </w:r>
      <w:r>
        <w:rPr>
          <w:rFonts w:hint="default"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instrText xml:space="preserve"> HYPERLINK "https://economy.jschina.com.cn/rddt/202509/t20250911_s68c2897be4b0c6c191a6a1ee.shtml" \t "https://chat.deepseek.com/a/chat/s/_blank" </w:instrText>
      </w:r>
      <w:r>
        <w:rPr>
          <w:rFonts w:hint="default"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fldChar w:fldCharType="separate"/>
      </w:r>
      <w:r>
        <w:rPr>
          <w:rFonts w:hint="default"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fldChar w:fldCharType="end"/>
      </w:r>
      <w:r>
        <w:rPr>
          <w:rFonts w:hint="default"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t>。该方案明确到2027年在全省构建起与重大战略、重点领域和薄弱环节发展需求高度适配的金融服务体系</w:t>
      </w:r>
      <w:r>
        <w:rPr>
          <w:rFonts w:hint="default"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fldChar w:fldCharType="begin"/>
      </w:r>
      <w:r>
        <w:rPr>
          <w:rFonts w:hint="default"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instrText xml:space="preserve"> HYPERLINK "https://economy.jschina.com.cn/rddt/202509/t20250911_s68c2897be4b0c6c191a6a1ee.shtml" \t "https://chat.deepseek.com/a/chat/s/_blank" </w:instrText>
      </w:r>
      <w:r>
        <w:rPr>
          <w:rFonts w:hint="default"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fldChar w:fldCharType="separate"/>
      </w:r>
      <w:r>
        <w:rPr>
          <w:rFonts w:hint="default"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fldChar w:fldCharType="end"/>
      </w:r>
      <w:r>
        <w:rPr>
          <w:rFonts w:hint="default"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t>。在绿色金融领域提出实施“绿色金融提质增效行动”，将从信贷、债券、股权投资等多渠道扩大绿色低碳领域融资供给，推动“江苏省绿色融资主体库”增量扩面，单列再贷款再贴现额度，引导金融机构对库内企业和项目按照绿色等级提供差异化信贷支持。</w:t>
      </w:r>
    </w:p>
    <w:p>
      <w:pPr>
        <w:keepNext w:val="0"/>
        <w:keepLines w:val="0"/>
        <w:pageBreakBefore w:val="0"/>
        <w:widowControl/>
        <w:kinsoku/>
        <w:wordWrap/>
        <w:overflowPunct/>
        <w:topLinePunct w:val="0"/>
        <w:autoSpaceDE w:val="0"/>
        <w:autoSpaceDN w:val="0"/>
        <w:bidi w:val="0"/>
        <w:adjustRightInd w:val="0"/>
        <w:snapToGrid w:val="0"/>
        <w:spacing w:before="217" w:beforeLines="50" w:line="240" w:lineRule="auto"/>
        <w:ind w:firstLine="504"/>
        <w:textAlignment w:val="baseline"/>
        <w:rPr>
          <w:rFonts w:hint="default"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pPr>
      <w:r>
        <w:rPr>
          <w:rFonts w:hint="eastAsia" w:ascii="仿宋" w:hAnsi="仿宋" w:eastAsia="仿宋" w:cs="仿宋"/>
          <w:b w:val="0"/>
          <w:bCs/>
          <w:snapToGrid w:val="0"/>
          <w:color w:val="auto"/>
          <w:spacing w:val="6"/>
          <w:kern w:val="0"/>
          <w:sz w:val="24"/>
          <w:szCs w:val="24"/>
          <w:highlight w:val="none"/>
          <w:lang w:eastAsia="zh-CN"/>
        </w:rPr>
        <w:t>（</w:t>
      </w:r>
      <w:r>
        <w:rPr>
          <w:rFonts w:hint="eastAsia" w:ascii="仿宋" w:hAnsi="仿宋" w:eastAsia="仿宋" w:cs="仿宋"/>
          <w:b w:val="0"/>
          <w:bCs/>
          <w:snapToGrid w:val="0"/>
          <w:color w:val="auto"/>
          <w:spacing w:val="6"/>
          <w:kern w:val="0"/>
          <w:sz w:val="24"/>
          <w:szCs w:val="24"/>
          <w:highlight w:val="none"/>
          <w:lang w:val="en-US" w:eastAsia="zh-CN"/>
        </w:rPr>
        <w:t>3</w:t>
      </w:r>
      <w:r>
        <w:rPr>
          <w:rFonts w:hint="eastAsia" w:ascii="仿宋" w:hAnsi="仿宋" w:eastAsia="仿宋" w:cs="仿宋"/>
          <w:b w:val="0"/>
          <w:bCs/>
          <w:snapToGrid w:val="0"/>
          <w:color w:val="auto"/>
          <w:spacing w:val="6"/>
          <w:kern w:val="0"/>
          <w:sz w:val="24"/>
          <w:szCs w:val="24"/>
          <w:highlight w:val="none"/>
          <w:lang w:eastAsia="zh-CN"/>
        </w:rPr>
        <w:t>）</w:t>
      </w:r>
      <w:r>
        <w:rPr>
          <w:rFonts w:hint="default"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t>开展绿色外债业务试点。 2025年9月30日，国家外汇管理局江苏省分局发布《关于开展绿色外债业务试点的通知》（苏汇发〔2025〕68号），决定在江苏省全域开展绿色外债业务试点，支持非金融企业将跨境融资资金用于绿色或低碳转型项目，政策于2025年11月1日正式生效</w:t>
      </w:r>
      <w:r>
        <w:rPr>
          <w:rFonts w:hint="default"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fldChar w:fldCharType="begin"/>
      </w:r>
      <w:r>
        <w:rPr>
          <w:rFonts w:hint="default"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instrText xml:space="preserve"> HYPERLINK "http://www.safe.gov.cn/jiangsu/2025/0930/1121.html" \t "https://chat.deepseek.com/a/chat/s/_blank" </w:instrText>
      </w:r>
      <w:r>
        <w:rPr>
          <w:rFonts w:hint="default"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fldChar w:fldCharType="separate"/>
      </w:r>
      <w:r>
        <w:rPr>
          <w:rFonts w:hint="default"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fldChar w:fldCharType="end"/>
      </w:r>
      <w:r>
        <w:rPr>
          <w:rFonts w:hint="default"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t>。</w:t>
      </w:r>
    </w:p>
    <w:p>
      <w:pPr>
        <w:keepNext w:val="0"/>
        <w:keepLines w:val="0"/>
        <w:pageBreakBefore w:val="0"/>
        <w:widowControl/>
        <w:kinsoku/>
        <w:wordWrap/>
        <w:overflowPunct/>
        <w:topLinePunct w:val="0"/>
        <w:autoSpaceDE w:val="0"/>
        <w:autoSpaceDN w:val="0"/>
        <w:bidi w:val="0"/>
        <w:adjustRightInd w:val="0"/>
        <w:snapToGrid w:val="0"/>
        <w:spacing w:before="217" w:beforeLines="50" w:line="240" w:lineRule="auto"/>
        <w:ind w:firstLine="504"/>
        <w:textAlignment w:val="baseline"/>
        <w:rPr>
          <w:rFonts w:hint="default"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pPr>
      <w:r>
        <w:rPr>
          <w:rFonts w:hint="eastAsia" w:ascii="仿宋" w:hAnsi="仿宋" w:eastAsia="仿宋" w:cs="仿宋"/>
          <w:b w:val="0"/>
          <w:bCs/>
          <w:snapToGrid w:val="0"/>
          <w:color w:val="auto"/>
          <w:spacing w:val="6"/>
          <w:kern w:val="0"/>
          <w:sz w:val="24"/>
          <w:szCs w:val="24"/>
          <w:highlight w:val="none"/>
          <w:lang w:eastAsia="zh-CN"/>
        </w:rPr>
        <w:t>（</w:t>
      </w:r>
      <w:r>
        <w:rPr>
          <w:rFonts w:hint="eastAsia" w:ascii="仿宋" w:hAnsi="仿宋" w:eastAsia="仿宋" w:cs="仿宋"/>
          <w:b w:val="0"/>
          <w:bCs/>
          <w:snapToGrid w:val="0"/>
          <w:color w:val="auto"/>
          <w:spacing w:val="6"/>
          <w:kern w:val="0"/>
          <w:sz w:val="24"/>
          <w:szCs w:val="24"/>
          <w:highlight w:val="none"/>
          <w:lang w:val="en-US" w:eastAsia="zh-CN"/>
        </w:rPr>
        <w:t>4</w:t>
      </w:r>
      <w:r>
        <w:rPr>
          <w:rFonts w:hint="eastAsia" w:ascii="仿宋" w:hAnsi="仿宋" w:eastAsia="仿宋" w:cs="仿宋"/>
          <w:b w:val="0"/>
          <w:bCs/>
          <w:snapToGrid w:val="0"/>
          <w:color w:val="auto"/>
          <w:spacing w:val="6"/>
          <w:kern w:val="0"/>
          <w:sz w:val="24"/>
          <w:szCs w:val="24"/>
          <w:highlight w:val="none"/>
          <w:lang w:eastAsia="zh-CN"/>
        </w:rPr>
        <w:t>）</w:t>
      </w:r>
      <w:r>
        <w:rPr>
          <w:rFonts w:hint="default"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t>创设“苏碳融”等政银产品。 人民银行江苏省分行创设“苏碳融”政银产品，利用再贷款资金引导金融机构对减碳成效较好的涉农、小微主体加大金融支持，对于地方法人金融机构向转型融资主体库内企业和项目发放的、符合再贷款要求的转型金融贷款，优先提供再贷款资金支持</w:t>
      </w:r>
      <w:r>
        <w:rPr>
          <w:rFonts w:hint="default"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fldChar w:fldCharType="begin"/>
      </w:r>
      <w:r>
        <w:rPr>
          <w:rFonts w:hint="default"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instrText xml:space="preserve"> HYPERLINK "https://nanjing.pbc.gov.cn/nanjing/117525/2026010508560944591/index.html" \l "1#1" \t "https://chat.deepseek.com/a/chat/s/_blank" </w:instrText>
      </w:r>
      <w:r>
        <w:rPr>
          <w:rFonts w:hint="default"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fldChar w:fldCharType="separate"/>
      </w:r>
      <w:r>
        <w:rPr>
          <w:rFonts w:hint="default"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fldChar w:fldCharType="end"/>
      </w:r>
      <w:r>
        <w:rPr>
          <w:rFonts w:hint="default"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t>。</w:t>
      </w:r>
    </w:p>
    <w:p>
      <w:pPr>
        <w:keepNext w:val="0"/>
        <w:keepLines w:val="0"/>
        <w:pageBreakBefore w:val="0"/>
        <w:widowControl/>
        <w:kinsoku/>
        <w:wordWrap/>
        <w:overflowPunct/>
        <w:topLinePunct w:val="0"/>
        <w:autoSpaceDE w:val="0"/>
        <w:autoSpaceDN w:val="0"/>
        <w:bidi w:val="0"/>
        <w:adjustRightInd w:val="0"/>
        <w:snapToGrid w:val="0"/>
        <w:spacing w:before="217" w:beforeLines="50" w:line="240" w:lineRule="auto"/>
        <w:ind w:firstLine="504"/>
        <w:textAlignment w:val="baseline"/>
        <w:rPr>
          <w:rFonts w:hint="default"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pPr>
      <w:r>
        <w:rPr>
          <w:rFonts w:hint="eastAsia" w:ascii="仿宋" w:hAnsi="仿宋" w:eastAsia="仿宋" w:cs="仿宋"/>
          <w:b w:val="0"/>
          <w:bCs/>
          <w:snapToGrid w:val="0"/>
          <w:color w:val="auto"/>
          <w:spacing w:val="6"/>
          <w:kern w:val="0"/>
          <w:sz w:val="24"/>
          <w:szCs w:val="24"/>
          <w:highlight w:val="none"/>
          <w:lang w:eastAsia="zh-CN"/>
        </w:rPr>
        <w:t>（</w:t>
      </w:r>
      <w:r>
        <w:rPr>
          <w:rFonts w:hint="eastAsia" w:ascii="仿宋" w:hAnsi="仿宋" w:eastAsia="仿宋" w:cs="仿宋"/>
          <w:b w:val="0"/>
          <w:bCs/>
          <w:snapToGrid w:val="0"/>
          <w:color w:val="auto"/>
          <w:spacing w:val="6"/>
          <w:kern w:val="0"/>
          <w:sz w:val="24"/>
          <w:szCs w:val="24"/>
          <w:highlight w:val="none"/>
          <w:lang w:val="en-US" w:eastAsia="zh-CN"/>
        </w:rPr>
        <w:t>5</w:t>
      </w:r>
      <w:r>
        <w:rPr>
          <w:rFonts w:hint="eastAsia" w:ascii="仿宋" w:hAnsi="仿宋" w:eastAsia="仿宋" w:cs="仿宋"/>
          <w:b w:val="0"/>
          <w:bCs/>
          <w:snapToGrid w:val="0"/>
          <w:color w:val="auto"/>
          <w:spacing w:val="6"/>
          <w:kern w:val="0"/>
          <w:sz w:val="24"/>
          <w:szCs w:val="24"/>
          <w:highlight w:val="none"/>
          <w:lang w:eastAsia="zh-CN"/>
        </w:rPr>
        <w:t>）</w:t>
      </w:r>
      <w:r>
        <w:rPr>
          <w:rFonts w:hint="default"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t>出台市级绿色金融专项实施意见。 扬州市在全省率先出台了市级层面绿色金融专项实施意见，助力搭建地方经济绿色发展政策框架</w:t>
      </w:r>
      <w:r>
        <w:rPr>
          <w:rFonts w:hint="default"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fldChar w:fldCharType="begin"/>
      </w:r>
      <w:r>
        <w:rPr>
          <w:rFonts w:hint="default"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instrText xml:space="preserve"> HYPERLINK "http://yangzhou.gov.cn/zwgk/yzzx/art/2025/art_378dfee525ab456a919ae5f2b53b30fe.html" \l "1" \t "https://chat.deepseek.com/a/chat/s/_blank" </w:instrText>
      </w:r>
      <w:r>
        <w:rPr>
          <w:rFonts w:hint="default"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fldChar w:fldCharType="separate"/>
      </w:r>
      <w:r>
        <w:rPr>
          <w:rFonts w:hint="default"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fldChar w:fldCharType="end"/>
      </w:r>
      <w:r>
        <w:rPr>
          <w:rFonts w:hint="default"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t>。先后研究制定《扬州市绿色企业、绿色项目认定暂行办法》，明确绿色金融支持范围和支持目录，为金融机构精准支持绿色转型发展提供政策依据</w:t>
      </w:r>
      <w:r>
        <w:rPr>
          <w:rFonts w:hint="default"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fldChar w:fldCharType="begin"/>
      </w:r>
      <w:r>
        <w:rPr>
          <w:rFonts w:hint="default"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instrText xml:space="preserve"> HYPERLINK "http://yangzhou.gov.cn/zwgk/yzzx/art/2025/art_378dfee525ab456a919ae5f2b53b30fe.html" \l "1" \t "https://chat.deepseek.com/a/chat/s/_blank" </w:instrText>
      </w:r>
      <w:r>
        <w:rPr>
          <w:rFonts w:hint="default"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fldChar w:fldCharType="separate"/>
      </w:r>
      <w:r>
        <w:rPr>
          <w:rFonts w:hint="default"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fldChar w:fldCharType="end"/>
      </w:r>
      <w:r>
        <w:rPr>
          <w:rFonts w:hint="default"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t>。将绿色金融发展纳入银行机构年度考核评价指标，鼓励符合条件的银行机构设立绿色金融专研、专营部门</w:t>
      </w:r>
      <w:r>
        <w:rPr>
          <w:rFonts w:hint="default"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fldChar w:fldCharType="begin"/>
      </w:r>
      <w:r>
        <w:rPr>
          <w:rFonts w:hint="default"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instrText xml:space="preserve"> HYPERLINK "http://yangzhou.gov.cn/zwgk/yzzx/art/2025/art_378dfee525ab456a919ae5f2b53b30fe.html" \l "1" \t "https://chat.deepseek.com/a/chat/s/_blank" </w:instrText>
      </w:r>
      <w:r>
        <w:rPr>
          <w:rFonts w:hint="default"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fldChar w:fldCharType="separate"/>
      </w:r>
      <w:r>
        <w:rPr>
          <w:rFonts w:hint="default"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fldChar w:fldCharType="end"/>
      </w:r>
      <w:r>
        <w:rPr>
          <w:rFonts w:hint="default"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t>。</w:t>
      </w:r>
    </w:p>
    <w:p>
      <w:pPr>
        <w:keepNext w:val="0"/>
        <w:keepLines w:val="0"/>
        <w:pageBreakBefore w:val="0"/>
        <w:widowControl/>
        <w:kinsoku/>
        <w:wordWrap/>
        <w:overflowPunct/>
        <w:topLinePunct w:val="0"/>
        <w:autoSpaceDE w:val="0"/>
        <w:autoSpaceDN w:val="0"/>
        <w:bidi w:val="0"/>
        <w:adjustRightInd w:val="0"/>
        <w:snapToGrid w:val="0"/>
        <w:spacing w:before="217" w:beforeLines="50" w:line="240" w:lineRule="auto"/>
        <w:ind w:firstLine="504"/>
        <w:textAlignment w:val="baseline"/>
        <w:rPr>
          <w:rFonts w:hint="default"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pPr>
      <w:r>
        <w:rPr>
          <w:rFonts w:hint="eastAsia" w:ascii="仿宋" w:hAnsi="仿宋" w:eastAsia="仿宋" w:cs="仿宋"/>
          <w:b w:val="0"/>
          <w:bCs/>
          <w:snapToGrid w:val="0"/>
          <w:color w:val="auto"/>
          <w:spacing w:val="6"/>
          <w:kern w:val="0"/>
          <w:sz w:val="24"/>
          <w:szCs w:val="24"/>
          <w:highlight w:val="none"/>
          <w:lang w:eastAsia="zh-CN"/>
        </w:rPr>
        <w:t>（</w:t>
      </w:r>
      <w:r>
        <w:rPr>
          <w:rFonts w:hint="eastAsia" w:ascii="仿宋" w:hAnsi="仿宋" w:eastAsia="仿宋" w:cs="仿宋"/>
          <w:b w:val="0"/>
          <w:bCs/>
          <w:snapToGrid w:val="0"/>
          <w:color w:val="auto"/>
          <w:spacing w:val="6"/>
          <w:kern w:val="0"/>
          <w:sz w:val="24"/>
          <w:szCs w:val="24"/>
          <w:highlight w:val="none"/>
          <w:lang w:val="en-US" w:eastAsia="zh-CN"/>
        </w:rPr>
        <w:t>6</w:t>
      </w:r>
      <w:r>
        <w:rPr>
          <w:rFonts w:hint="eastAsia" w:ascii="仿宋" w:hAnsi="仿宋" w:eastAsia="仿宋" w:cs="仿宋"/>
          <w:b w:val="0"/>
          <w:bCs/>
          <w:snapToGrid w:val="0"/>
          <w:color w:val="auto"/>
          <w:spacing w:val="6"/>
          <w:kern w:val="0"/>
          <w:sz w:val="24"/>
          <w:szCs w:val="24"/>
          <w:highlight w:val="none"/>
          <w:lang w:eastAsia="zh-CN"/>
        </w:rPr>
        <w:t>）</w:t>
      </w:r>
      <w:r>
        <w:rPr>
          <w:rFonts w:hint="default"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t>搭建绿色金融线上服务平台。 扬州市在全省率先开发建设绿色金融线上服务平台，设立“绿色企业（项目）库”，实现入库信息实时发布、绿色产业融资线上对接、绿色金融数据统计等功能</w:t>
      </w:r>
      <w:r>
        <w:rPr>
          <w:rFonts w:hint="default"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fldChar w:fldCharType="begin"/>
      </w:r>
      <w:r>
        <w:rPr>
          <w:rFonts w:hint="default"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instrText xml:space="preserve"> HYPERLINK "http://yangzhou.gov.cn/zwgk/yzzx/art/2025/art_378dfee525ab456a919ae5f2b53b30fe.html" \l "1" \t "https://chat.deepseek.com/a/chat/s/_blank" </w:instrText>
      </w:r>
      <w:r>
        <w:rPr>
          <w:rFonts w:hint="default"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fldChar w:fldCharType="separate"/>
      </w:r>
      <w:r>
        <w:rPr>
          <w:rFonts w:hint="default"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fldChar w:fldCharType="end"/>
      </w:r>
      <w:r>
        <w:rPr>
          <w:rFonts w:hint="default"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t>。</w:t>
      </w:r>
    </w:p>
    <w:p>
      <w:pPr>
        <w:keepNext w:val="0"/>
        <w:keepLines w:val="0"/>
        <w:pageBreakBefore w:val="0"/>
        <w:widowControl/>
        <w:kinsoku/>
        <w:wordWrap/>
        <w:overflowPunct/>
        <w:topLinePunct w:val="0"/>
        <w:autoSpaceDE w:val="0"/>
        <w:autoSpaceDN w:val="0"/>
        <w:bidi w:val="0"/>
        <w:adjustRightInd w:val="0"/>
        <w:snapToGrid w:val="0"/>
        <w:spacing w:before="217" w:beforeLines="50" w:line="240" w:lineRule="auto"/>
        <w:ind w:firstLine="504"/>
        <w:textAlignment w:val="baseline"/>
        <w:rPr>
          <w:rFonts w:hint="default"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pPr>
      <w:r>
        <w:rPr>
          <w:rFonts w:hint="eastAsia" w:ascii="仿宋" w:hAnsi="仿宋" w:eastAsia="仿宋" w:cs="仿宋"/>
          <w:b w:val="0"/>
          <w:bCs/>
          <w:snapToGrid w:val="0"/>
          <w:color w:val="auto"/>
          <w:spacing w:val="6"/>
          <w:kern w:val="0"/>
          <w:sz w:val="24"/>
          <w:szCs w:val="24"/>
          <w:highlight w:val="none"/>
          <w:lang w:eastAsia="zh-CN"/>
        </w:rPr>
        <w:t>（</w:t>
      </w:r>
      <w:r>
        <w:rPr>
          <w:rFonts w:hint="eastAsia" w:ascii="仿宋" w:hAnsi="仿宋" w:eastAsia="仿宋" w:cs="仿宋"/>
          <w:b w:val="0"/>
          <w:bCs/>
          <w:snapToGrid w:val="0"/>
          <w:color w:val="auto"/>
          <w:spacing w:val="6"/>
          <w:kern w:val="0"/>
          <w:sz w:val="24"/>
          <w:szCs w:val="24"/>
          <w:highlight w:val="none"/>
          <w:lang w:val="en-US" w:eastAsia="zh-CN"/>
        </w:rPr>
        <w:t>7</w:t>
      </w:r>
      <w:r>
        <w:rPr>
          <w:rFonts w:hint="eastAsia" w:ascii="仿宋" w:hAnsi="仿宋" w:eastAsia="仿宋" w:cs="仿宋"/>
          <w:b w:val="0"/>
          <w:bCs/>
          <w:snapToGrid w:val="0"/>
          <w:color w:val="auto"/>
          <w:spacing w:val="6"/>
          <w:kern w:val="0"/>
          <w:sz w:val="24"/>
          <w:szCs w:val="24"/>
          <w:highlight w:val="none"/>
          <w:lang w:eastAsia="zh-CN"/>
        </w:rPr>
        <w:t>）</w:t>
      </w:r>
      <w:r>
        <w:rPr>
          <w:rFonts w:hint="default"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t>推动绿色金融赋能生态环境。 报告期内，扬州市召开绿色金融赋能生态环境专场融资对接会，落实国家“双碳”战略和绿色发展要求，加快推进生态环境领域重点项目落地实施。扬州市生态环境局介绍全市生态环境基础设施和上争环保资金项目情况，省生态环境厅专家详细解读“环保贷”“环保担”“环基贷”等绿色金融政策及项目申报流程。扬州金融监管分局要求各金融机构做好后续项目跟踪落实，加大绿色信贷投入。</w:t>
      </w:r>
    </w:p>
    <w:p>
      <w:pPr>
        <w:keepNext w:val="0"/>
        <w:keepLines w:val="0"/>
        <w:pageBreakBefore w:val="0"/>
        <w:widowControl/>
        <w:kinsoku/>
        <w:wordWrap/>
        <w:overflowPunct/>
        <w:topLinePunct w:val="0"/>
        <w:autoSpaceDE w:val="0"/>
        <w:autoSpaceDN w:val="0"/>
        <w:bidi w:val="0"/>
        <w:adjustRightInd w:val="0"/>
        <w:snapToGrid w:val="0"/>
        <w:spacing w:before="149" w:beforeLines="50" w:line="240" w:lineRule="auto"/>
        <w:ind w:firstLine="480" w:firstLineChars="200"/>
        <w:textAlignment w:val="baseline"/>
        <w:outlineLvl w:val="2"/>
        <w:rPr>
          <w:rFonts w:hint="default" w:ascii="微软雅黑" w:hAnsi="微软雅黑" w:eastAsia="微软雅黑" w:cs="微软雅黑"/>
          <w:b w:val="0"/>
          <w:bCs/>
          <w:color w:val="000000" w:themeColor="text1"/>
          <w:kern w:val="2"/>
          <w:sz w:val="24"/>
          <w:szCs w:val="24"/>
          <w:lang w:val="en-US" w:eastAsia="zh-CN" w:bidi="ar-SA"/>
          <w14:textFill>
            <w14:solidFill>
              <w14:schemeClr w14:val="tx1"/>
            </w14:solidFill>
          </w14:textFill>
        </w:rPr>
      </w:pPr>
      <w:r>
        <w:rPr>
          <w:rFonts w:hint="eastAsia" w:ascii="微软雅黑" w:hAnsi="微软雅黑" w:eastAsia="微软雅黑" w:cs="微软雅黑"/>
          <w:b w:val="0"/>
          <w:bCs/>
          <w:color w:val="000000" w:themeColor="text1"/>
          <w:kern w:val="2"/>
          <w:sz w:val="24"/>
          <w:szCs w:val="24"/>
          <w:lang w:val="en-US" w:eastAsia="zh-CN" w:bidi="ar-SA"/>
          <w14:textFill>
            <w14:solidFill>
              <w14:schemeClr w14:val="tx1"/>
            </w14:solidFill>
          </w14:textFill>
        </w:rPr>
        <w:t>4.2.2</w:t>
      </w:r>
      <w:r>
        <w:rPr>
          <w:rFonts w:hint="default" w:ascii="微软雅黑" w:hAnsi="微软雅黑" w:eastAsia="微软雅黑" w:cs="微软雅黑"/>
          <w:b w:val="0"/>
          <w:bCs/>
          <w:color w:val="000000" w:themeColor="text1"/>
          <w:kern w:val="2"/>
          <w:sz w:val="24"/>
          <w:szCs w:val="24"/>
          <w:lang w:val="en-US" w:eastAsia="zh-CN" w:bidi="ar-SA"/>
          <w14:textFill>
            <w14:solidFill>
              <w14:schemeClr w14:val="tx1"/>
            </w14:solidFill>
          </w14:textFill>
        </w:rPr>
        <w:t>本行贯彻落实举措与成效</w:t>
      </w:r>
    </w:p>
    <w:p>
      <w:pPr>
        <w:keepNext w:val="0"/>
        <w:keepLines w:val="0"/>
        <w:pageBreakBefore w:val="0"/>
        <w:widowControl/>
        <w:kinsoku/>
        <w:wordWrap/>
        <w:overflowPunct/>
        <w:topLinePunct w:val="0"/>
        <w:autoSpaceDE w:val="0"/>
        <w:autoSpaceDN w:val="0"/>
        <w:bidi w:val="0"/>
        <w:adjustRightInd w:val="0"/>
        <w:snapToGrid w:val="0"/>
        <w:spacing w:before="217" w:beforeLines="50" w:line="240" w:lineRule="auto"/>
        <w:ind w:firstLine="504"/>
        <w:textAlignment w:val="baseline"/>
        <w:rPr>
          <w:rFonts w:hint="default"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pPr>
      <w:r>
        <w:rPr>
          <w:rFonts w:hint="default"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t>本行高度重视上述国家政策的贯彻落实，紧密围绕政策导向，从战略规划、组织保障、信贷投放、产品创新、碳金融布局、绿色工厂支持、信息披露等维度系统推进绿色金融各项工作。</w:t>
      </w:r>
    </w:p>
    <w:p>
      <w:pPr>
        <w:keepNext w:val="0"/>
        <w:keepLines w:val="0"/>
        <w:pageBreakBefore w:val="0"/>
        <w:widowControl/>
        <w:kinsoku/>
        <w:wordWrap/>
        <w:overflowPunct/>
        <w:topLinePunct w:val="0"/>
        <w:autoSpaceDE w:val="0"/>
        <w:autoSpaceDN w:val="0"/>
        <w:bidi w:val="0"/>
        <w:adjustRightInd w:val="0"/>
        <w:snapToGrid w:val="0"/>
        <w:spacing w:before="217" w:beforeLines="50" w:line="240" w:lineRule="auto"/>
        <w:ind w:firstLine="504"/>
        <w:textAlignment w:val="baseline"/>
        <w:rPr>
          <w:rFonts w:hint="default"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pPr>
      <w:r>
        <w:rPr>
          <w:rFonts w:hint="default"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t>（</w:t>
      </w:r>
      <w:r>
        <w:rPr>
          <w:rFonts w:hint="eastAsia"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t>1</w:t>
      </w:r>
      <w:r>
        <w:rPr>
          <w:rFonts w:hint="default"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t>）强化战略引领与顶层设计。 本行将绿色金融纳入公司治理顶层设计，董事会下设绿色金融委员会，制定并实施《绿色金融发展三年规划》及《绿色信贷授信政策指引》，明确每年绿色贷款增速不低于20%的硬性目标，为绿色金融业务发展提供了清晰的战略指引和制度保障。</w:t>
      </w:r>
    </w:p>
    <w:p>
      <w:pPr>
        <w:keepNext w:val="0"/>
        <w:keepLines w:val="0"/>
        <w:pageBreakBefore w:val="0"/>
        <w:widowControl/>
        <w:kinsoku/>
        <w:wordWrap/>
        <w:overflowPunct/>
        <w:topLinePunct w:val="0"/>
        <w:autoSpaceDE w:val="0"/>
        <w:autoSpaceDN w:val="0"/>
        <w:bidi w:val="0"/>
        <w:adjustRightInd w:val="0"/>
        <w:snapToGrid w:val="0"/>
        <w:spacing w:before="217" w:beforeLines="50" w:line="240" w:lineRule="auto"/>
        <w:ind w:firstLine="504"/>
        <w:textAlignment w:val="baseline"/>
        <w:rPr>
          <w:rFonts w:hint="default"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pPr>
      <w:r>
        <w:rPr>
          <w:rFonts w:hint="default"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t>（</w:t>
      </w:r>
      <w:r>
        <w:rPr>
          <w:rFonts w:hint="eastAsia"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t>2</w:t>
      </w:r>
      <w:r>
        <w:rPr>
          <w:rFonts w:hint="default"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t>）加大绿色信贷投放，精准对接政策目录。 本行结合《绿色金融支持项目目录（2025年版）》，明确绿色农村农业、绿色制造、绿色水资源治理、绿色生态城市建设四大重点支持方向，将信贷资源向节能环保、清洁能源、绿色交通、绿色建筑等低碳领域倾斜。截至2025年末，本行绿色信贷余额达16.37亿元，较年初增长37.79%，不良贷款率为零。</w:t>
      </w:r>
    </w:p>
    <w:p>
      <w:pPr>
        <w:keepNext w:val="0"/>
        <w:keepLines w:val="0"/>
        <w:pageBreakBefore w:val="0"/>
        <w:widowControl/>
        <w:kinsoku/>
        <w:wordWrap/>
        <w:overflowPunct/>
        <w:topLinePunct w:val="0"/>
        <w:autoSpaceDE w:val="0"/>
        <w:autoSpaceDN w:val="0"/>
        <w:bidi w:val="0"/>
        <w:adjustRightInd w:val="0"/>
        <w:snapToGrid w:val="0"/>
        <w:spacing w:before="217" w:beforeLines="50" w:line="240" w:lineRule="auto"/>
        <w:ind w:firstLine="504"/>
        <w:textAlignment w:val="baseline"/>
        <w:rPr>
          <w:rFonts w:hint="default"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pPr>
      <w:r>
        <w:rPr>
          <w:rFonts w:hint="default"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t>（</w:t>
      </w:r>
      <w:r>
        <w:rPr>
          <w:rFonts w:hint="eastAsia"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t>3</w:t>
      </w:r>
      <w:r>
        <w:rPr>
          <w:rFonts w:hint="default"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t>）支持绿色工厂建设，助力制造业绿色转型。 本行积极贯彻落实《关于用好绿色金融政策支持绿色工厂建设的通知》要求，主动对接绿色工厂融资需求，通过优化审批流程、加大信贷投放、实施差异化利率定价等方式，重点支持制造业企业开展节能改造、设备绿色升级和清洁生产，加快制造业绿色改造升级步伐，为扬州制造业绿色低碳转型提供有力的金融支撑。</w:t>
      </w:r>
    </w:p>
    <w:p>
      <w:pPr>
        <w:keepNext w:val="0"/>
        <w:keepLines w:val="0"/>
        <w:pageBreakBefore w:val="0"/>
        <w:widowControl/>
        <w:kinsoku/>
        <w:wordWrap/>
        <w:overflowPunct/>
        <w:topLinePunct w:val="0"/>
        <w:autoSpaceDE w:val="0"/>
        <w:autoSpaceDN w:val="0"/>
        <w:bidi w:val="0"/>
        <w:adjustRightInd w:val="0"/>
        <w:snapToGrid w:val="0"/>
        <w:spacing w:before="217" w:beforeLines="50" w:line="240" w:lineRule="auto"/>
        <w:ind w:firstLine="504"/>
        <w:textAlignment w:val="baseline"/>
        <w:rPr>
          <w:rFonts w:hint="default"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pPr>
      <w:r>
        <w:rPr>
          <w:rFonts w:hint="default"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t>（</w:t>
      </w:r>
      <w:r>
        <w:rPr>
          <w:rFonts w:hint="eastAsia"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t>4</w:t>
      </w:r>
      <w:r>
        <w:rPr>
          <w:rFonts w:hint="default"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t>）规范信息披露，提升绿色金融透明度。 本行严格按照监管要求编制并发布年度社会责任报告，系统披露绿色金融战略、绿色信贷数据及环境绩效等信息，确保环境信息披露的及时性、准确性与完整性，切实提升绿色金融透明度，接受社会各界监督。</w:t>
      </w:r>
    </w:p>
    <w:p>
      <w:pPr>
        <w:pStyle w:val="2"/>
        <w:keepNext w:val="0"/>
        <w:keepLines w:val="0"/>
        <w:pageBreakBefore w:val="0"/>
        <w:widowControl w:val="0"/>
        <w:kinsoku/>
        <w:wordWrap/>
        <w:overflowPunct/>
        <w:topLinePunct w:val="0"/>
        <w:autoSpaceDE/>
        <w:autoSpaceDN/>
        <w:bidi w:val="0"/>
        <w:adjustRightInd/>
        <w:snapToGrid/>
        <w:spacing w:after="0" w:line="240" w:lineRule="auto"/>
        <w:textAlignment w:val="auto"/>
        <w:rPr>
          <w:rFonts w:hint="eastAsia" w:ascii="仿宋" w:hAnsi="仿宋" w:eastAsia="仿宋" w:cs="仿宋"/>
          <w:b w:val="0"/>
          <w:bCs/>
          <w:snapToGrid w:val="0"/>
          <w:color w:val="auto"/>
          <w:spacing w:val="6"/>
          <w:kern w:val="0"/>
          <w:sz w:val="18"/>
          <w:szCs w:val="18"/>
          <w:lang w:val="en-US" w:eastAsia="zh-CN" w:bidi="ar-SA"/>
        </w:rPr>
      </w:pPr>
      <w:bookmarkStart w:id="16" w:name="_Toc19416"/>
    </w:p>
    <w:p>
      <w:pPr>
        <w:keepNext w:val="0"/>
        <w:keepLines w:val="0"/>
        <w:pageBreakBefore w:val="0"/>
        <w:widowControl/>
        <w:numPr>
          <w:ilvl w:val="0"/>
          <w:numId w:val="0"/>
        </w:numPr>
        <w:kinsoku/>
        <w:wordWrap/>
        <w:overflowPunct/>
        <w:topLinePunct w:val="0"/>
        <w:autoSpaceDE w:val="0"/>
        <w:autoSpaceDN w:val="0"/>
        <w:bidi w:val="0"/>
        <w:adjustRightInd w:val="0"/>
        <w:snapToGrid w:val="0"/>
        <w:spacing w:before="149" w:beforeLines="50" w:line="240" w:lineRule="auto"/>
        <w:ind w:left="0" w:leftChars="0" w:firstLine="0" w:firstLineChars="0"/>
        <w:textAlignment w:val="baseline"/>
        <w:outlineLvl w:val="0"/>
        <w:rPr>
          <w:rFonts w:hint="eastAsia" w:ascii="微软雅黑" w:hAnsi="微软雅黑" w:eastAsia="微软雅黑" w:cs="微软雅黑"/>
          <w:b w:val="0"/>
          <w:bCs/>
          <w:color w:val="000000" w:themeColor="text1"/>
          <w:kern w:val="2"/>
          <w:sz w:val="28"/>
          <w:szCs w:val="28"/>
          <w:lang w:val="en-US" w:eastAsia="zh-CN" w:bidi="ar-SA"/>
          <w14:textFill>
            <w14:solidFill>
              <w14:schemeClr w14:val="tx1"/>
            </w14:solidFill>
          </w14:textFill>
        </w:rPr>
      </w:pPr>
      <w:r>
        <w:rPr>
          <w:rFonts w:hint="eastAsia" w:ascii="微软雅黑" w:hAnsi="微软雅黑" w:eastAsia="微软雅黑" w:cs="微软雅黑"/>
          <w:b w:val="0"/>
          <w:bCs/>
          <w:color w:val="000000" w:themeColor="text1"/>
          <w:kern w:val="2"/>
          <w:sz w:val="28"/>
          <w:szCs w:val="28"/>
          <w:lang w:val="en-US" w:eastAsia="zh-CN" w:bidi="ar-SA"/>
          <w14:textFill>
            <w14:solidFill>
              <w14:schemeClr w14:val="tx1"/>
            </w14:solidFill>
          </w14:textFill>
        </w:rPr>
        <w:t>4.3 建立健全内部制度体系</w:t>
      </w:r>
      <w:bookmarkEnd w:id="16"/>
    </w:p>
    <w:p>
      <w:pPr>
        <w:keepNext w:val="0"/>
        <w:keepLines w:val="0"/>
        <w:pageBreakBefore w:val="0"/>
        <w:widowControl/>
        <w:kinsoku/>
        <w:wordWrap/>
        <w:overflowPunct/>
        <w:topLinePunct w:val="0"/>
        <w:autoSpaceDE w:val="0"/>
        <w:autoSpaceDN w:val="0"/>
        <w:bidi w:val="0"/>
        <w:adjustRightInd w:val="0"/>
        <w:snapToGrid w:val="0"/>
        <w:spacing w:before="217" w:beforeLines="50" w:line="240" w:lineRule="auto"/>
        <w:ind w:firstLine="504"/>
        <w:textAlignment w:val="baseline"/>
        <w:rPr>
          <w:rFonts w:hint="default"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pPr>
      <w:r>
        <w:rPr>
          <w:rFonts w:hint="default"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t>扬州农商银行高度重视绿色金融内部制度体系建设，按照“顶层设计引领—信贷管理规范—风险管控支撑—考核激励保障—组织运行落实”的思路，系统构建了覆盖战略规划、信贷管理、风险管理、考核激励、组织保障等维度的五位一体绿色金融内部制度体系，为绿色金融业务的有序开展提供了完善的制度保障。</w:t>
      </w:r>
    </w:p>
    <w:p>
      <w:pPr>
        <w:keepNext w:val="0"/>
        <w:keepLines w:val="0"/>
        <w:pageBreakBefore w:val="0"/>
        <w:widowControl/>
        <w:kinsoku/>
        <w:wordWrap/>
        <w:overflowPunct/>
        <w:topLinePunct w:val="0"/>
        <w:autoSpaceDE w:val="0"/>
        <w:autoSpaceDN w:val="0"/>
        <w:bidi w:val="0"/>
        <w:adjustRightInd w:val="0"/>
        <w:snapToGrid w:val="0"/>
        <w:spacing w:before="217" w:beforeLines="50" w:line="240" w:lineRule="auto"/>
        <w:ind w:firstLine="504"/>
        <w:textAlignment w:val="baseline"/>
        <w:rPr>
          <w:rFonts w:hint="default"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pPr>
      <w:r>
        <w:rPr>
          <w:rFonts w:hint="eastAsia" w:ascii="仿宋" w:hAnsi="仿宋" w:eastAsia="仿宋" w:cs="仿宋"/>
          <w:b w:val="0"/>
          <w:bCs/>
          <w:snapToGrid w:val="0"/>
          <w:color w:val="auto"/>
          <w:spacing w:val="6"/>
          <w:kern w:val="0"/>
          <w:sz w:val="24"/>
          <w:szCs w:val="24"/>
          <w:highlight w:val="none"/>
          <w:lang w:eastAsia="zh-CN"/>
        </w:rPr>
        <w:t>（</w:t>
      </w:r>
      <w:r>
        <w:rPr>
          <w:rFonts w:hint="eastAsia" w:ascii="仿宋" w:hAnsi="仿宋" w:eastAsia="仿宋" w:cs="仿宋"/>
          <w:b w:val="0"/>
          <w:bCs/>
          <w:snapToGrid w:val="0"/>
          <w:color w:val="auto"/>
          <w:spacing w:val="6"/>
          <w:kern w:val="0"/>
          <w:sz w:val="24"/>
          <w:szCs w:val="24"/>
          <w:highlight w:val="none"/>
          <w:lang w:val="en-US" w:eastAsia="zh-CN"/>
        </w:rPr>
        <w:t>1</w:t>
      </w:r>
      <w:r>
        <w:rPr>
          <w:rFonts w:hint="eastAsia" w:ascii="仿宋" w:hAnsi="仿宋" w:eastAsia="仿宋" w:cs="仿宋"/>
          <w:b w:val="0"/>
          <w:bCs/>
          <w:snapToGrid w:val="0"/>
          <w:color w:val="auto"/>
          <w:spacing w:val="6"/>
          <w:kern w:val="0"/>
          <w:sz w:val="24"/>
          <w:szCs w:val="24"/>
          <w:highlight w:val="none"/>
          <w:lang w:eastAsia="zh-CN"/>
        </w:rPr>
        <w:t>）</w:t>
      </w:r>
      <w:r>
        <w:rPr>
          <w:rFonts w:hint="default"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t>加强顶层设计，明确战略方向。 本行紧跟国家《绿色金融支持项目目录（2025年版）》等最新政策导向，制定并实施了《绿色金融发展三年规划》及《绿色金融委员会工作制度》，将绿色金融纳入公司治理顶层设计。在董事会下设绿色金融委员会，从顶层设计、治理角度、制度层面逐步完善绿色金融治理体系，明确每年绿色贷款增速不低于20%的硬性发展目标，为绿色金融业务发展提供了清晰的战略指引。</w:t>
      </w:r>
    </w:p>
    <w:p>
      <w:pPr>
        <w:keepNext w:val="0"/>
        <w:keepLines w:val="0"/>
        <w:pageBreakBefore w:val="0"/>
        <w:widowControl/>
        <w:kinsoku/>
        <w:wordWrap/>
        <w:overflowPunct/>
        <w:topLinePunct w:val="0"/>
        <w:autoSpaceDE w:val="0"/>
        <w:autoSpaceDN w:val="0"/>
        <w:bidi w:val="0"/>
        <w:adjustRightInd w:val="0"/>
        <w:snapToGrid w:val="0"/>
        <w:spacing w:before="217" w:beforeLines="50" w:line="240" w:lineRule="auto"/>
        <w:ind w:firstLine="504"/>
        <w:textAlignment w:val="baseline"/>
        <w:rPr>
          <w:rFonts w:hint="default"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pPr>
      <w:r>
        <w:rPr>
          <w:rFonts w:hint="eastAsia" w:ascii="仿宋" w:hAnsi="仿宋" w:eastAsia="仿宋" w:cs="仿宋"/>
          <w:b w:val="0"/>
          <w:bCs/>
          <w:snapToGrid w:val="0"/>
          <w:color w:val="auto"/>
          <w:spacing w:val="6"/>
          <w:kern w:val="0"/>
          <w:sz w:val="24"/>
          <w:szCs w:val="24"/>
          <w:highlight w:val="none"/>
          <w:lang w:eastAsia="zh-CN"/>
        </w:rPr>
        <w:t>（</w:t>
      </w:r>
      <w:r>
        <w:rPr>
          <w:rFonts w:hint="eastAsia" w:ascii="仿宋" w:hAnsi="仿宋" w:eastAsia="仿宋" w:cs="仿宋"/>
          <w:b w:val="0"/>
          <w:bCs/>
          <w:snapToGrid w:val="0"/>
          <w:color w:val="auto"/>
          <w:spacing w:val="6"/>
          <w:kern w:val="0"/>
          <w:sz w:val="24"/>
          <w:szCs w:val="24"/>
          <w:highlight w:val="none"/>
          <w:lang w:val="en-US" w:eastAsia="zh-CN"/>
        </w:rPr>
        <w:t>2</w:t>
      </w:r>
      <w:r>
        <w:rPr>
          <w:rFonts w:hint="eastAsia" w:ascii="仿宋" w:hAnsi="仿宋" w:eastAsia="仿宋" w:cs="仿宋"/>
          <w:b w:val="0"/>
          <w:bCs/>
          <w:snapToGrid w:val="0"/>
          <w:color w:val="auto"/>
          <w:spacing w:val="6"/>
          <w:kern w:val="0"/>
          <w:sz w:val="24"/>
          <w:szCs w:val="24"/>
          <w:highlight w:val="none"/>
          <w:lang w:eastAsia="zh-CN"/>
        </w:rPr>
        <w:t>）</w:t>
      </w:r>
      <w:r>
        <w:rPr>
          <w:rFonts w:hint="default"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t>完善信贷管理制度，规范业务流程。 本行研究制定并出台了《绿色信贷授信政策指引》及《绿色信贷管理办法》，明确要求全行以绿色农业发展、绿色乡村建设、节能减排产业发展、清洁能源发展、绿色低碳生活、自然生态保护修复为主线，全方位、多渠道加大绿色信贷支持力度。建立《绿色信贷统计制度》，对绿色信贷余额、增长率、占比等关键指标进行定期统计和分析，为管理层决策提供数据支持。同时，将节能环保作为客户评级、信贷准入、授信管理及业务退出的重要依据，在信贷全流程嵌入绿色标准。</w:t>
      </w:r>
    </w:p>
    <w:p>
      <w:pPr>
        <w:keepNext w:val="0"/>
        <w:keepLines w:val="0"/>
        <w:pageBreakBefore w:val="0"/>
        <w:widowControl/>
        <w:kinsoku/>
        <w:wordWrap/>
        <w:overflowPunct/>
        <w:topLinePunct w:val="0"/>
        <w:autoSpaceDE w:val="0"/>
        <w:autoSpaceDN w:val="0"/>
        <w:bidi w:val="0"/>
        <w:adjustRightInd w:val="0"/>
        <w:snapToGrid w:val="0"/>
        <w:spacing w:before="217" w:beforeLines="50" w:line="240" w:lineRule="auto"/>
        <w:ind w:firstLine="504"/>
        <w:textAlignment w:val="baseline"/>
        <w:rPr>
          <w:rFonts w:hint="default"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pPr>
      <w:r>
        <w:rPr>
          <w:rFonts w:hint="eastAsia" w:ascii="仿宋" w:hAnsi="仿宋" w:eastAsia="仿宋" w:cs="仿宋"/>
          <w:b w:val="0"/>
          <w:bCs/>
          <w:snapToGrid w:val="0"/>
          <w:color w:val="auto"/>
          <w:spacing w:val="6"/>
          <w:kern w:val="0"/>
          <w:sz w:val="24"/>
          <w:szCs w:val="24"/>
          <w:highlight w:val="none"/>
          <w:lang w:eastAsia="zh-CN"/>
        </w:rPr>
        <w:t>（</w:t>
      </w:r>
      <w:r>
        <w:rPr>
          <w:rFonts w:hint="eastAsia" w:ascii="仿宋" w:hAnsi="仿宋" w:eastAsia="仿宋" w:cs="仿宋"/>
          <w:b w:val="0"/>
          <w:bCs/>
          <w:snapToGrid w:val="0"/>
          <w:color w:val="auto"/>
          <w:spacing w:val="6"/>
          <w:kern w:val="0"/>
          <w:sz w:val="24"/>
          <w:szCs w:val="24"/>
          <w:highlight w:val="none"/>
          <w:lang w:val="en-US" w:eastAsia="zh-CN"/>
        </w:rPr>
        <w:t>3</w:t>
      </w:r>
      <w:r>
        <w:rPr>
          <w:rFonts w:hint="eastAsia" w:ascii="仿宋" w:hAnsi="仿宋" w:eastAsia="仿宋" w:cs="仿宋"/>
          <w:b w:val="0"/>
          <w:bCs/>
          <w:snapToGrid w:val="0"/>
          <w:color w:val="auto"/>
          <w:spacing w:val="6"/>
          <w:kern w:val="0"/>
          <w:sz w:val="24"/>
          <w:szCs w:val="24"/>
          <w:highlight w:val="none"/>
          <w:lang w:eastAsia="zh-CN"/>
        </w:rPr>
        <w:t>）</w:t>
      </w:r>
      <w:r>
        <w:rPr>
          <w:rFonts w:hint="default"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t>强化风险管理，筑牢风控屏障。 本行制定《环境风险管理制度》，明确环境风险的识别、评估、监控和应对措施，将企业环评、能耗、排污许可等数据嵌入信贷管理系统，建立“绿色标签”数据库，确保业务运营符合环保法规要求，降低环境风险对业务的影响。对绿色信贷业务实行差别化、动态化管理，确保绿色金融在风险可控前提下稳健发展。</w:t>
      </w:r>
    </w:p>
    <w:p>
      <w:pPr>
        <w:keepNext w:val="0"/>
        <w:keepLines w:val="0"/>
        <w:pageBreakBefore w:val="0"/>
        <w:widowControl/>
        <w:kinsoku/>
        <w:wordWrap/>
        <w:overflowPunct/>
        <w:topLinePunct w:val="0"/>
        <w:autoSpaceDE w:val="0"/>
        <w:autoSpaceDN w:val="0"/>
        <w:bidi w:val="0"/>
        <w:adjustRightInd w:val="0"/>
        <w:snapToGrid w:val="0"/>
        <w:spacing w:before="217" w:beforeLines="50" w:line="240" w:lineRule="auto"/>
        <w:ind w:firstLine="504"/>
        <w:textAlignment w:val="baseline"/>
        <w:rPr>
          <w:rFonts w:hint="default"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pPr>
      <w:r>
        <w:rPr>
          <w:rFonts w:hint="eastAsia" w:ascii="仿宋" w:hAnsi="仿宋" w:eastAsia="仿宋" w:cs="仿宋"/>
          <w:b w:val="0"/>
          <w:bCs/>
          <w:snapToGrid w:val="0"/>
          <w:color w:val="auto"/>
          <w:spacing w:val="6"/>
          <w:kern w:val="0"/>
          <w:sz w:val="24"/>
          <w:szCs w:val="24"/>
          <w:highlight w:val="none"/>
          <w:lang w:eastAsia="zh-CN"/>
        </w:rPr>
        <w:t>（</w:t>
      </w:r>
      <w:r>
        <w:rPr>
          <w:rFonts w:hint="eastAsia" w:ascii="仿宋" w:hAnsi="仿宋" w:eastAsia="仿宋" w:cs="仿宋"/>
          <w:b w:val="0"/>
          <w:bCs/>
          <w:snapToGrid w:val="0"/>
          <w:color w:val="auto"/>
          <w:spacing w:val="6"/>
          <w:kern w:val="0"/>
          <w:sz w:val="24"/>
          <w:szCs w:val="24"/>
          <w:highlight w:val="none"/>
          <w:lang w:val="en-US" w:eastAsia="zh-CN"/>
        </w:rPr>
        <w:t>4</w:t>
      </w:r>
      <w:r>
        <w:rPr>
          <w:rFonts w:hint="eastAsia" w:ascii="仿宋" w:hAnsi="仿宋" w:eastAsia="仿宋" w:cs="仿宋"/>
          <w:b w:val="0"/>
          <w:bCs/>
          <w:snapToGrid w:val="0"/>
          <w:color w:val="auto"/>
          <w:spacing w:val="6"/>
          <w:kern w:val="0"/>
          <w:sz w:val="24"/>
          <w:szCs w:val="24"/>
          <w:highlight w:val="none"/>
          <w:lang w:eastAsia="zh-CN"/>
        </w:rPr>
        <w:t>）</w:t>
      </w:r>
      <w:r>
        <w:rPr>
          <w:rFonts w:hint="default"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t>健全考核激励机制，激发内生动力。 本行制定《绿色金融专项考核办法》，在年度综合考核中单列绿色金融专项指标，建立以定量指标为主的绩效指标体系，将考核结果与机构、人员绩效和评先评优直接挂钩，有效激发全行拓展绿色业务的主动性和积极性。同时出台《绿色信贷尽职免责制度》，将绿色信贷业务纳入尽职免责范围，提高绿色信贷不良容忍度，推动信贷人员加大投放力度，充分发挥一线人员和授信审查审批人员的工作主动性和积极性。</w:t>
      </w:r>
    </w:p>
    <w:p>
      <w:pPr>
        <w:keepNext w:val="0"/>
        <w:keepLines w:val="0"/>
        <w:pageBreakBefore w:val="0"/>
        <w:widowControl/>
        <w:kinsoku/>
        <w:wordWrap/>
        <w:overflowPunct/>
        <w:topLinePunct w:val="0"/>
        <w:autoSpaceDE w:val="0"/>
        <w:autoSpaceDN w:val="0"/>
        <w:bidi w:val="0"/>
        <w:adjustRightInd w:val="0"/>
        <w:snapToGrid w:val="0"/>
        <w:spacing w:before="217" w:beforeLines="50" w:line="240" w:lineRule="auto"/>
        <w:ind w:firstLine="504"/>
        <w:textAlignment w:val="baseline"/>
        <w:rPr>
          <w:rFonts w:hint="default"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pPr>
      <w:r>
        <w:rPr>
          <w:rFonts w:hint="eastAsia" w:ascii="仿宋" w:hAnsi="仿宋" w:eastAsia="仿宋" w:cs="仿宋"/>
          <w:b w:val="0"/>
          <w:bCs/>
          <w:snapToGrid w:val="0"/>
          <w:color w:val="auto"/>
          <w:spacing w:val="6"/>
          <w:kern w:val="0"/>
          <w:sz w:val="24"/>
          <w:szCs w:val="24"/>
          <w:highlight w:val="none"/>
          <w:lang w:eastAsia="zh-CN"/>
        </w:rPr>
        <w:t>（</w:t>
      </w:r>
      <w:r>
        <w:rPr>
          <w:rFonts w:hint="eastAsia" w:ascii="仿宋" w:hAnsi="仿宋" w:eastAsia="仿宋" w:cs="仿宋"/>
          <w:b w:val="0"/>
          <w:bCs/>
          <w:snapToGrid w:val="0"/>
          <w:color w:val="auto"/>
          <w:spacing w:val="6"/>
          <w:kern w:val="0"/>
          <w:sz w:val="24"/>
          <w:szCs w:val="24"/>
          <w:highlight w:val="none"/>
          <w:lang w:val="en-US" w:eastAsia="zh-CN"/>
        </w:rPr>
        <w:t>5</w:t>
      </w:r>
      <w:r>
        <w:rPr>
          <w:rFonts w:hint="eastAsia" w:ascii="仿宋" w:hAnsi="仿宋" w:eastAsia="仿宋" w:cs="仿宋"/>
          <w:b w:val="0"/>
          <w:bCs/>
          <w:snapToGrid w:val="0"/>
          <w:color w:val="auto"/>
          <w:spacing w:val="6"/>
          <w:kern w:val="0"/>
          <w:sz w:val="24"/>
          <w:szCs w:val="24"/>
          <w:highlight w:val="none"/>
          <w:lang w:eastAsia="zh-CN"/>
        </w:rPr>
        <w:t>）</w:t>
      </w:r>
      <w:r>
        <w:rPr>
          <w:rFonts w:hint="default"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t>夯实组织保障，确保制度落地执行。 本行制定《绿色金融事业部工作制度》，在前台部门下设绿色金融事业部二级部门，配备绿色金融专职管理人员，负责制定适应绿色信贷业务发展特点的信用评级、信贷流程和风险控制等规章制度，不断完善绿色信贷利率定价、内部信用评价、业务审批和内部激励约束机制，实行差别化、动态化管理，筑牢绿色业务发展基础。</w:t>
      </w:r>
    </w:p>
    <w:p>
      <w:pPr>
        <w:keepNext w:val="0"/>
        <w:keepLines w:val="0"/>
        <w:pageBreakBefore w:val="0"/>
        <w:widowControl/>
        <w:kinsoku/>
        <w:wordWrap/>
        <w:overflowPunct/>
        <w:topLinePunct w:val="0"/>
        <w:autoSpaceDE w:val="0"/>
        <w:autoSpaceDN w:val="0"/>
        <w:bidi w:val="0"/>
        <w:adjustRightInd w:val="0"/>
        <w:snapToGrid w:val="0"/>
        <w:spacing w:before="217" w:beforeLines="50" w:line="240" w:lineRule="auto"/>
        <w:ind w:firstLine="504"/>
        <w:textAlignment w:val="baseline"/>
        <w:rPr>
          <w:rFonts w:hint="default"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pPr>
      <w:r>
        <w:rPr>
          <w:rFonts w:hint="default"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t>上述制度体系的建立，使本行绿色金融工作实现了从战略规划到业务落地、从风险防控到考核激励的全流程闭环管理。在制度体系建设过程中，本行注重根据国家政策变化和业务发展需要持续修订完善制度文件，2025年度共新增制度17项、修订制度130项、废止123项，确保制度体系始终保持与监管要求和业务实际的高度适配。下一步，本行将持续完善绿色金融内部制度体系，推动绿色金融与全行转型发展深度融合，以制度创新引领绿色金融高质量发展。</w:t>
      </w:r>
    </w:p>
    <w:p>
      <w:pPr>
        <w:pStyle w:val="2"/>
        <w:keepNext w:val="0"/>
        <w:keepLines w:val="0"/>
        <w:pageBreakBefore w:val="0"/>
        <w:widowControl w:val="0"/>
        <w:kinsoku/>
        <w:wordWrap/>
        <w:overflowPunct/>
        <w:topLinePunct w:val="0"/>
        <w:autoSpaceDE/>
        <w:autoSpaceDN/>
        <w:bidi w:val="0"/>
        <w:adjustRightInd/>
        <w:snapToGrid/>
        <w:spacing w:after="0" w:line="240" w:lineRule="auto"/>
        <w:textAlignment w:val="auto"/>
        <w:rPr>
          <w:rFonts w:hint="eastAsia" w:ascii="仿宋" w:hAnsi="仿宋" w:eastAsia="仿宋" w:cs="仿宋"/>
          <w:b w:val="0"/>
          <w:bCs/>
          <w:snapToGrid w:val="0"/>
          <w:color w:val="auto"/>
          <w:spacing w:val="6"/>
          <w:kern w:val="0"/>
          <w:sz w:val="18"/>
          <w:szCs w:val="18"/>
          <w:lang w:val="en-US" w:eastAsia="zh-CN" w:bidi="ar-SA"/>
        </w:rPr>
      </w:pPr>
      <w:bookmarkStart w:id="17" w:name="_Toc7836"/>
    </w:p>
    <w:p>
      <w:pPr>
        <w:keepNext w:val="0"/>
        <w:keepLines w:val="0"/>
        <w:pageBreakBefore w:val="0"/>
        <w:widowControl/>
        <w:numPr>
          <w:ilvl w:val="0"/>
          <w:numId w:val="0"/>
        </w:numPr>
        <w:kinsoku/>
        <w:wordWrap/>
        <w:overflowPunct/>
        <w:topLinePunct w:val="0"/>
        <w:autoSpaceDE w:val="0"/>
        <w:autoSpaceDN w:val="0"/>
        <w:bidi w:val="0"/>
        <w:adjustRightInd w:val="0"/>
        <w:snapToGrid w:val="0"/>
        <w:spacing w:before="149" w:beforeLines="50" w:line="240" w:lineRule="auto"/>
        <w:ind w:left="0" w:leftChars="0" w:firstLine="0" w:firstLineChars="0"/>
        <w:textAlignment w:val="baseline"/>
        <w:outlineLvl w:val="0"/>
        <w:rPr>
          <w:rFonts w:hint="eastAsia" w:ascii="微软雅黑" w:hAnsi="微软雅黑" w:eastAsia="微软雅黑" w:cs="微软雅黑"/>
          <w:b w:val="0"/>
          <w:bCs/>
          <w:color w:val="000000" w:themeColor="text1"/>
          <w:kern w:val="2"/>
          <w:sz w:val="28"/>
          <w:szCs w:val="28"/>
          <w:lang w:val="en-US" w:eastAsia="zh-CN" w:bidi="ar-SA"/>
          <w14:textFill>
            <w14:solidFill>
              <w14:schemeClr w14:val="tx1"/>
            </w14:solidFill>
          </w14:textFill>
        </w:rPr>
      </w:pPr>
      <w:r>
        <w:rPr>
          <w:rFonts w:hint="eastAsia" w:ascii="微软雅黑" w:hAnsi="微软雅黑" w:eastAsia="微软雅黑" w:cs="微软雅黑"/>
          <w:b w:val="0"/>
          <w:bCs/>
          <w:color w:val="000000" w:themeColor="text1"/>
          <w:kern w:val="2"/>
          <w:sz w:val="28"/>
          <w:szCs w:val="28"/>
          <w:lang w:val="en-US" w:eastAsia="zh-CN" w:bidi="ar-SA"/>
          <w14:textFill>
            <w14:solidFill>
              <w14:schemeClr w14:val="tx1"/>
            </w14:solidFill>
          </w14:textFill>
        </w:rPr>
        <w:t>4.4 国际标准与倡议采纳</w:t>
      </w:r>
      <w:bookmarkEnd w:id="17"/>
    </w:p>
    <w:p>
      <w:pPr>
        <w:keepNext w:val="0"/>
        <w:keepLines w:val="0"/>
        <w:pageBreakBefore w:val="0"/>
        <w:widowControl/>
        <w:kinsoku/>
        <w:wordWrap/>
        <w:overflowPunct/>
        <w:topLinePunct w:val="0"/>
        <w:autoSpaceDE w:val="0"/>
        <w:autoSpaceDN w:val="0"/>
        <w:bidi w:val="0"/>
        <w:adjustRightInd w:val="0"/>
        <w:snapToGrid w:val="0"/>
        <w:spacing w:before="217" w:beforeLines="50" w:line="240" w:lineRule="auto"/>
        <w:ind w:firstLine="504"/>
        <w:textAlignment w:val="baseline"/>
        <w:rPr>
          <w:rFonts w:hint="eastAsia" w:ascii="仿宋" w:hAnsi="仿宋" w:eastAsia="仿宋" w:cs="仿宋"/>
          <w:b w:val="0"/>
          <w:bCs w:val="0"/>
          <w:color w:val="000000" w:themeColor="text1"/>
          <w:spacing w:val="6"/>
          <w:sz w:val="24"/>
          <w:highlight w:val="none"/>
          <w:lang w:val="en-US" w:eastAsia="zh-CN"/>
          <w14:textFill>
            <w14:solidFill>
              <w14:schemeClr w14:val="tx1"/>
            </w14:solidFill>
          </w14:textFill>
        </w:rPr>
      </w:pPr>
      <w:r>
        <w:rPr>
          <w:rFonts w:hint="default" w:ascii="仿宋" w:hAnsi="仿宋" w:eastAsia="仿宋" w:cs="仿宋"/>
          <w:b w:val="0"/>
          <w:bCs w:val="0"/>
          <w:color w:val="000000" w:themeColor="text1"/>
          <w:spacing w:val="6"/>
          <w:sz w:val="24"/>
          <w:highlight w:val="none"/>
          <w:lang w:val="en-US" w:eastAsia="zh-CN"/>
          <w14:textFill>
            <w14:solidFill>
              <w14:schemeClr w14:val="tx1"/>
            </w14:solidFill>
          </w14:textFill>
        </w:rPr>
        <w:t>本行立足地方法人银行定位，主动对标全球可持续发展、气候治理与绿色金融领域主流国际公约、统一核算标准、可持续披露框架及行业权威倡议，系统推进相关准则与管控要求在绿色金融顶层战略、信贷业务经营、气候风险管控及年度环境信息披露各领域的全面嵌入与有效落地，持续履行地方法人银行在可持续发展领域的国际责任。</w:t>
      </w:r>
    </w:p>
    <w:p>
      <w:pPr>
        <w:keepNext w:val="0"/>
        <w:keepLines w:val="0"/>
        <w:pageBreakBefore w:val="0"/>
        <w:widowControl/>
        <w:kinsoku/>
        <w:wordWrap/>
        <w:overflowPunct/>
        <w:topLinePunct w:val="0"/>
        <w:autoSpaceDE w:val="0"/>
        <w:autoSpaceDN w:val="0"/>
        <w:bidi w:val="0"/>
        <w:adjustRightInd w:val="0"/>
        <w:snapToGrid w:val="0"/>
        <w:spacing w:before="217" w:beforeLines="50" w:line="240" w:lineRule="auto"/>
        <w:ind w:firstLine="504"/>
        <w:textAlignment w:val="baseline"/>
        <w:rPr>
          <w:rFonts w:hint="default" w:ascii="仿宋" w:hAnsi="仿宋" w:eastAsia="仿宋" w:cs="仿宋"/>
          <w:b w:val="0"/>
          <w:bCs w:val="0"/>
          <w:color w:val="000000" w:themeColor="text1"/>
          <w:spacing w:val="6"/>
          <w:sz w:val="24"/>
          <w:highlight w:val="none"/>
          <w:lang w:val="en-US" w:eastAsia="zh-CN"/>
          <w14:textFill>
            <w14:solidFill>
              <w14:schemeClr w14:val="tx1"/>
            </w14:solidFill>
          </w14:textFill>
        </w:rPr>
      </w:pPr>
      <w:r>
        <w:rPr>
          <w:rFonts w:hint="eastAsia" w:ascii="仿宋" w:hAnsi="仿宋" w:eastAsia="仿宋" w:cs="仿宋"/>
          <w:b w:val="0"/>
          <w:bCs/>
          <w:snapToGrid w:val="0"/>
          <w:color w:val="auto"/>
          <w:spacing w:val="6"/>
          <w:kern w:val="0"/>
          <w:sz w:val="24"/>
          <w:szCs w:val="24"/>
          <w:highlight w:val="none"/>
          <w:lang w:eastAsia="zh-CN"/>
        </w:rPr>
        <w:t>（</w:t>
      </w:r>
      <w:r>
        <w:rPr>
          <w:rFonts w:hint="eastAsia" w:ascii="仿宋" w:hAnsi="仿宋" w:eastAsia="仿宋" w:cs="仿宋"/>
          <w:b w:val="0"/>
          <w:bCs/>
          <w:snapToGrid w:val="0"/>
          <w:color w:val="auto"/>
          <w:spacing w:val="6"/>
          <w:kern w:val="0"/>
          <w:sz w:val="24"/>
          <w:szCs w:val="24"/>
          <w:highlight w:val="none"/>
          <w:lang w:val="en-US" w:eastAsia="zh-CN"/>
        </w:rPr>
        <w:t>1</w:t>
      </w:r>
      <w:r>
        <w:rPr>
          <w:rFonts w:hint="eastAsia" w:ascii="仿宋" w:hAnsi="仿宋" w:eastAsia="仿宋" w:cs="仿宋"/>
          <w:b w:val="0"/>
          <w:bCs/>
          <w:snapToGrid w:val="0"/>
          <w:color w:val="auto"/>
          <w:spacing w:val="6"/>
          <w:kern w:val="0"/>
          <w:sz w:val="24"/>
          <w:szCs w:val="24"/>
          <w:highlight w:val="none"/>
          <w:lang w:eastAsia="zh-CN"/>
        </w:rPr>
        <w:t>）</w:t>
      </w:r>
      <w:r>
        <w:rPr>
          <w:rFonts w:hint="default" w:ascii="仿宋" w:hAnsi="仿宋" w:eastAsia="仿宋" w:cs="仿宋"/>
          <w:b w:val="0"/>
          <w:bCs w:val="0"/>
          <w:color w:val="000000" w:themeColor="text1"/>
          <w:spacing w:val="6"/>
          <w:sz w:val="24"/>
          <w:highlight w:val="none"/>
          <w:lang w:val="en-US" w:eastAsia="zh-CN"/>
          <w14:textFill>
            <w14:solidFill>
              <w14:schemeClr w14:val="tx1"/>
            </w14:solidFill>
          </w14:textFill>
        </w:rPr>
        <w:t>战略规划层面，本行以全球绿色金融与气候治理的最新趋势为导向，</w:t>
      </w:r>
      <w:r>
        <w:rPr>
          <w:rFonts w:hint="default" w:eastAsia="仿宋" w:cs="Times New Roman"/>
          <w:b w:val="0"/>
          <w:bCs/>
          <w:snapToGrid w:val="0"/>
          <w:color w:val="000000" w:themeColor="text1"/>
          <w:spacing w:val="6"/>
          <w:kern w:val="0"/>
          <w:sz w:val="24"/>
          <w:szCs w:val="24"/>
          <w:highlight w:val="none"/>
          <w:lang w:val="en-US" w:eastAsia="zh-CN"/>
          <w14:textFill>
            <w14:solidFill>
              <w14:schemeClr w14:val="tx1"/>
            </w14:solidFill>
          </w14:textFill>
        </w:rPr>
        <w:t>制定并实施了《绿色金融发展三年规划》及《绿色金融委员会工作制度》，将绿色金融纳入公司治理顶层设计。</w:t>
      </w:r>
      <w:r>
        <w:rPr>
          <w:rFonts w:hint="default" w:ascii="仿宋" w:hAnsi="仿宋" w:eastAsia="仿宋" w:cs="仿宋"/>
          <w:b w:val="0"/>
          <w:bCs w:val="0"/>
          <w:color w:val="000000" w:themeColor="text1"/>
          <w:spacing w:val="6"/>
          <w:sz w:val="24"/>
          <w:highlight w:val="none"/>
          <w:lang w:val="en-US" w:eastAsia="zh-CN"/>
          <w14:textFill>
            <w14:solidFill>
              <w14:schemeClr w14:val="tx1"/>
            </w14:solidFill>
          </w14:textFill>
        </w:rPr>
        <w:t>从顶层设计层面确保绿色金融发展方向与国际最佳实践保持动态接轨。</w:t>
      </w:r>
    </w:p>
    <w:p>
      <w:pPr>
        <w:keepNext w:val="0"/>
        <w:keepLines w:val="0"/>
        <w:pageBreakBefore w:val="0"/>
        <w:widowControl/>
        <w:kinsoku/>
        <w:wordWrap/>
        <w:overflowPunct/>
        <w:topLinePunct w:val="0"/>
        <w:autoSpaceDE w:val="0"/>
        <w:autoSpaceDN w:val="0"/>
        <w:bidi w:val="0"/>
        <w:adjustRightInd w:val="0"/>
        <w:snapToGrid w:val="0"/>
        <w:spacing w:before="217" w:beforeLines="50" w:line="240" w:lineRule="auto"/>
        <w:ind w:firstLine="504"/>
        <w:textAlignment w:val="baseline"/>
        <w:rPr>
          <w:rFonts w:hint="default" w:ascii="仿宋" w:hAnsi="仿宋" w:eastAsia="仿宋" w:cs="仿宋"/>
          <w:b w:val="0"/>
          <w:bCs w:val="0"/>
          <w:color w:val="000000" w:themeColor="text1"/>
          <w:spacing w:val="6"/>
          <w:sz w:val="24"/>
          <w:highlight w:val="none"/>
          <w:lang w:val="en-US" w:eastAsia="zh-CN"/>
          <w14:textFill>
            <w14:solidFill>
              <w14:schemeClr w14:val="tx1"/>
            </w14:solidFill>
          </w14:textFill>
        </w:rPr>
      </w:pPr>
      <w:r>
        <w:rPr>
          <w:rFonts w:hint="eastAsia" w:ascii="仿宋" w:hAnsi="仿宋" w:eastAsia="仿宋" w:cs="仿宋"/>
          <w:b w:val="0"/>
          <w:bCs/>
          <w:snapToGrid w:val="0"/>
          <w:color w:val="auto"/>
          <w:spacing w:val="6"/>
          <w:kern w:val="0"/>
          <w:sz w:val="24"/>
          <w:szCs w:val="24"/>
          <w:highlight w:val="none"/>
          <w:lang w:eastAsia="zh-CN"/>
        </w:rPr>
        <w:t>（</w:t>
      </w:r>
      <w:r>
        <w:rPr>
          <w:rFonts w:hint="eastAsia" w:ascii="仿宋" w:hAnsi="仿宋" w:eastAsia="仿宋" w:cs="仿宋"/>
          <w:b w:val="0"/>
          <w:bCs/>
          <w:snapToGrid w:val="0"/>
          <w:color w:val="auto"/>
          <w:spacing w:val="6"/>
          <w:kern w:val="0"/>
          <w:sz w:val="24"/>
          <w:szCs w:val="24"/>
          <w:highlight w:val="none"/>
          <w:lang w:val="en-US" w:eastAsia="zh-CN"/>
        </w:rPr>
        <w:t>2</w:t>
      </w:r>
      <w:r>
        <w:rPr>
          <w:rFonts w:hint="eastAsia" w:ascii="仿宋" w:hAnsi="仿宋" w:eastAsia="仿宋" w:cs="仿宋"/>
          <w:b w:val="0"/>
          <w:bCs/>
          <w:snapToGrid w:val="0"/>
          <w:color w:val="auto"/>
          <w:spacing w:val="6"/>
          <w:kern w:val="0"/>
          <w:sz w:val="24"/>
          <w:szCs w:val="24"/>
          <w:highlight w:val="none"/>
          <w:lang w:eastAsia="zh-CN"/>
        </w:rPr>
        <w:t>）</w:t>
      </w:r>
      <w:r>
        <w:rPr>
          <w:rFonts w:hint="default" w:ascii="仿宋" w:hAnsi="仿宋" w:eastAsia="仿宋" w:cs="仿宋"/>
          <w:b w:val="0"/>
          <w:bCs w:val="0"/>
          <w:color w:val="000000" w:themeColor="text1"/>
          <w:spacing w:val="6"/>
          <w:sz w:val="24"/>
          <w:highlight w:val="none"/>
          <w:lang w:val="en-US" w:eastAsia="zh-CN"/>
          <w14:textFill>
            <w14:solidFill>
              <w14:schemeClr w14:val="tx1"/>
            </w14:solidFill>
          </w14:textFill>
        </w:rPr>
        <w:t>业务经营层面，本行积极接轨国际通行的碳核算与风险管理方法论。依托金融碳核算系统，采用PCAF标准对贷款及投资组合的碳排放进行系统计量与常态化监测；参照TCFD框架与ISSB准则，构建覆盖治理、战略、风险管理、指标与目标等核心维度的环境信息披露体系；同时引入赤道原则的环境与社会风险分类管理理念，对授信项目实施差异化环境风险评估，全面提升绿色金融业务的专业化管控水平。</w:t>
      </w:r>
    </w:p>
    <w:p>
      <w:pPr>
        <w:keepNext w:val="0"/>
        <w:keepLines w:val="0"/>
        <w:pageBreakBefore w:val="0"/>
        <w:widowControl/>
        <w:kinsoku/>
        <w:wordWrap/>
        <w:overflowPunct/>
        <w:topLinePunct w:val="0"/>
        <w:autoSpaceDE w:val="0"/>
        <w:autoSpaceDN w:val="0"/>
        <w:bidi w:val="0"/>
        <w:adjustRightInd w:val="0"/>
        <w:snapToGrid w:val="0"/>
        <w:spacing w:before="217" w:beforeLines="50" w:line="240" w:lineRule="auto"/>
        <w:ind w:firstLine="504"/>
        <w:textAlignment w:val="baseline"/>
        <w:rPr>
          <w:rFonts w:hint="default" w:ascii="仿宋" w:hAnsi="仿宋" w:eastAsia="仿宋" w:cs="仿宋"/>
          <w:b w:val="0"/>
          <w:bCs w:val="0"/>
          <w:color w:val="000000" w:themeColor="text1"/>
          <w:spacing w:val="6"/>
          <w:sz w:val="24"/>
          <w:highlight w:val="none"/>
          <w:lang w:val="en-US" w:eastAsia="zh-CN"/>
          <w14:textFill>
            <w14:solidFill>
              <w14:schemeClr w14:val="tx1"/>
            </w14:solidFill>
          </w14:textFill>
        </w:rPr>
      </w:pPr>
      <w:r>
        <w:rPr>
          <w:rFonts w:hint="eastAsia" w:ascii="仿宋" w:hAnsi="仿宋" w:eastAsia="仿宋" w:cs="仿宋"/>
          <w:b w:val="0"/>
          <w:bCs/>
          <w:snapToGrid w:val="0"/>
          <w:color w:val="auto"/>
          <w:spacing w:val="6"/>
          <w:kern w:val="0"/>
          <w:sz w:val="24"/>
          <w:szCs w:val="24"/>
          <w:highlight w:val="none"/>
          <w:lang w:eastAsia="zh-CN"/>
        </w:rPr>
        <w:t>（</w:t>
      </w:r>
      <w:r>
        <w:rPr>
          <w:rFonts w:hint="eastAsia" w:ascii="仿宋" w:hAnsi="仿宋" w:eastAsia="仿宋" w:cs="仿宋"/>
          <w:b w:val="0"/>
          <w:bCs/>
          <w:snapToGrid w:val="0"/>
          <w:color w:val="auto"/>
          <w:spacing w:val="6"/>
          <w:kern w:val="0"/>
          <w:sz w:val="24"/>
          <w:szCs w:val="24"/>
          <w:highlight w:val="none"/>
          <w:lang w:val="en-US" w:eastAsia="zh-CN"/>
        </w:rPr>
        <w:t>3</w:t>
      </w:r>
      <w:r>
        <w:rPr>
          <w:rFonts w:hint="eastAsia" w:ascii="仿宋" w:hAnsi="仿宋" w:eastAsia="仿宋" w:cs="仿宋"/>
          <w:b w:val="0"/>
          <w:bCs/>
          <w:snapToGrid w:val="0"/>
          <w:color w:val="auto"/>
          <w:spacing w:val="6"/>
          <w:kern w:val="0"/>
          <w:sz w:val="24"/>
          <w:szCs w:val="24"/>
          <w:highlight w:val="none"/>
          <w:lang w:eastAsia="zh-CN"/>
        </w:rPr>
        <w:t>）</w:t>
      </w:r>
      <w:r>
        <w:rPr>
          <w:rFonts w:hint="default" w:ascii="仿宋" w:hAnsi="仿宋" w:eastAsia="仿宋" w:cs="仿宋"/>
          <w:b w:val="0"/>
          <w:bCs w:val="0"/>
          <w:color w:val="000000" w:themeColor="text1"/>
          <w:spacing w:val="6"/>
          <w:sz w:val="24"/>
          <w:highlight w:val="none"/>
          <w:lang w:val="en-US" w:eastAsia="zh-CN"/>
          <w14:textFill>
            <w14:solidFill>
              <w14:schemeClr w14:val="tx1"/>
            </w14:solidFill>
          </w14:textFill>
        </w:rPr>
        <w:t>气候风险管理层面，本行有效整合PCAF碳核算方法论与TCFD气候风险识别框架，建成涵盖气候风险识别、评估、监测、报告及信息披露的全流程管理闭环。通过定期开展重点高碳行业气候风险压力测试与多情景分析，本行能够主动识别、量化并积极应对转型风险与物理风险，持续提升气候风险的主动管理与前瞻应对能力。</w:t>
      </w:r>
    </w:p>
    <w:p>
      <w:pPr>
        <w:keepNext w:val="0"/>
        <w:keepLines w:val="0"/>
        <w:pageBreakBefore w:val="0"/>
        <w:widowControl/>
        <w:kinsoku/>
        <w:wordWrap/>
        <w:overflowPunct/>
        <w:topLinePunct w:val="0"/>
        <w:autoSpaceDE w:val="0"/>
        <w:autoSpaceDN w:val="0"/>
        <w:bidi w:val="0"/>
        <w:adjustRightInd w:val="0"/>
        <w:snapToGrid w:val="0"/>
        <w:spacing w:before="217" w:beforeLines="50" w:line="240" w:lineRule="auto"/>
        <w:ind w:firstLine="504"/>
        <w:textAlignment w:val="baseline"/>
        <w:rPr>
          <w:rFonts w:hint="default" w:ascii="仿宋" w:hAnsi="仿宋" w:eastAsia="仿宋" w:cs="仿宋"/>
          <w:b w:val="0"/>
          <w:bCs w:val="0"/>
          <w:color w:val="000000" w:themeColor="text1"/>
          <w:spacing w:val="6"/>
          <w:sz w:val="24"/>
          <w:highlight w:val="none"/>
          <w:lang w:val="en-US" w:eastAsia="zh-CN"/>
          <w14:textFill>
            <w14:solidFill>
              <w14:schemeClr w14:val="tx1"/>
            </w14:solidFill>
          </w14:textFill>
        </w:rPr>
      </w:pPr>
      <w:r>
        <w:rPr>
          <w:rFonts w:hint="eastAsia" w:ascii="仿宋" w:hAnsi="仿宋" w:eastAsia="仿宋" w:cs="仿宋"/>
          <w:b w:val="0"/>
          <w:bCs/>
          <w:snapToGrid w:val="0"/>
          <w:color w:val="auto"/>
          <w:spacing w:val="6"/>
          <w:kern w:val="0"/>
          <w:sz w:val="24"/>
          <w:szCs w:val="24"/>
          <w:highlight w:val="none"/>
          <w:lang w:eastAsia="zh-CN"/>
        </w:rPr>
        <w:t>（</w:t>
      </w:r>
      <w:r>
        <w:rPr>
          <w:rFonts w:hint="eastAsia" w:ascii="仿宋" w:hAnsi="仿宋" w:eastAsia="仿宋" w:cs="仿宋"/>
          <w:b w:val="0"/>
          <w:bCs/>
          <w:snapToGrid w:val="0"/>
          <w:color w:val="auto"/>
          <w:spacing w:val="6"/>
          <w:kern w:val="0"/>
          <w:sz w:val="24"/>
          <w:szCs w:val="24"/>
          <w:highlight w:val="none"/>
          <w:lang w:val="en-US" w:eastAsia="zh-CN"/>
        </w:rPr>
        <w:t>4</w:t>
      </w:r>
      <w:r>
        <w:rPr>
          <w:rFonts w:hint="eastAsia" w:ascii="仿宋" w:hAnsi="仿宋" w:eastAsia="仿宋" w:cs="仿宋"/>
          <w:b w:val="0"/>
          <w:bCs/>
          <w:snapToGrid w:val="0"/>
          <w:color w:val="auto"/>
          <w:spacing w:val="6"/>
          <w:kern w:val="0"/>
          <w:sz w:val="24"/>
          <w:szCs w:val="24"/>
          <w:highlight w:val="none"/>
          <w:lang w:eastAsia="zh-CN"/>
        </w:rPr>
        <w:t>）</w:t>
      </w:r>
      <w:r>
        <w:rPr>
          <w:rFonts w:hint="default" w:ascii="仿宋" w:hAnsi="仿宋" w:eastAsia="仿宋" w:cs="仿宋"/>
          <w:b w:val="0"/>
          <w:bCs w:val="0"/>
          <w:color w:val="000000" w:themeColor="text1"/>
          <w:spacing w:val="6"/>
          <w:sz w:val="24"/>
          <w:highlight w:val="none"/>
          <w:lang w:val="en-US" w:eastAsia="zh-CN"/>
          <w14:textFill>
            <w14:solidFill>
              <w14:schemeClr w14:val="tx1"/>
            </w14:solidFill>
          </w14:textFill>
        </w:rPr>
        <w:t>环境信息披露层面，本行严格遵循国际可持续披露准则要求，年度环境信息披露报告已完整涵盖范围一、范围二温室气体排放数据，并积极推进投融资组合范围三碳核算的探索性实践。通过对标国内外主流可持续发展披露准则，本行借助专业模型与标准化情景框架，对投资组合气候风险开展量化分析，有力保障了信息披露的科学严谨性、规范一致性与国际可比性。</w:t>
      </w:r>
    </w:p>
    <w:p>
      <w:pPr>
        <w:keepNext w:val="0"/>
        <w:keepLines w:val="0"/>
        <w:pageBreakBefore w:val="0"/>
        <w:widowControl/>
        <w:kinsoku/>
        <w:wordWrap/>
        <w:overflowPunct/>
        <w:topLinePunct w:val="0"/>
        <w:autoSpaceDE w:val="0"/>
        <w:autoSpaceDN w:val="0"/>
        <w:bidi w:val="0"/>
        <w:adjustRightInd w:val="0"/>
        <w:snapToGrid w:val="0"/>
        <w:spacing w:before="217" w:beforeLines="50" w:line="240" w:lineRule="auto"/>
        <w:ind w:firstLine="504"/>
        <w:textAlignment w:val="baseline"/>
        <w:rPr>
          <w:rFonts w:hint="eastAsia" w:ascii="仿宋" w:hAnsi="仿宋" w:eastAsia="仿宋" w:cs="仿宋"/>
          <w:b w:val="0"/>
          <w:bCs/>
          <w:snapToGrid w:val="0"/>
          <w:color w:val="000000" w:themeColor="text1"/>
          <w:spacing w:val="6"/>
          <w:kern w:val="0"/>
          <w:sz w:val="24"/>
          <w:szCs w:val="24"/>
          <w:lang w:val="en-US" w:eastAsia="zh-CN"/>
          <w14:textFill>
            <w14:solidFill>
              <w14:schemeClr w14:val="tx1"/>
            </w14:solidFill>
          </w14:textFill>
        </w:rPr>
      </w:pPr>
      <w:r>
        <w:rPr>
          <w:rFonts w:hint="default" w:ascii="仿宋" w:hAnsi="仿宋" w:eastAsia="仿宋" w:cs="仿宋"/>
          <w:b w:val="0"/>
          <w:bCs w:val="0"/>
          <w:color w:val="000000" w:themeColor="text1"/>
          <w:spacing w:val="6"/>
          <w:sz w:val="24"/>
          <w:highlight w:val="none"/>
          <w:lang w:val="en-US" w:eastAsia="zh-CN"/>
          <w14:textFill>
            <w14:solidFill>
              <w14:schemeClr w14:val="tx1"/>
            </w14:solidFill>
          </w14:textFill>
        </w:rPr>
        <w:t>通过上述系统性采纳与实践，本行已将国际绿色金融与气候治理领域的先进理念、核算标准与披露框架全面融入全行经营管理各环节，持续提升绿色金融治理的专业化、规范化与国际化水平，切实彰显地方法人银行在应对气候变化与推动可持续发展进程中的责任意识与使命担当。</w:t>
      </w:r>
    </w:p>
    <w:p>
      <w:pPr>
        <w:pageBreakBefore w:val="0"/>
        <w:widowControl/>
        <w:kinsoku w:val="0"/>
        <w:wordWrap/>
        <w:topLinePunct w:val="0"/>
        <w:autoSpaceDE w:val="0"/>
        <w:autoSpaceDN w:val="0"/>
        <w:bidi w:val="0"/>
        <w:adjustRightInd w:val="0"/>
        <w:snapToGrid w:val="0"/>
        <w:spacing w:before="149" w:beforeLines="50" w:line="240" w:lineRule="auto"/>
        <w:ind w:firstLine="504" w:firstLineChars="200"/>
        <w:textAlignment w:val="baseline"/>
        <w:rPr>
          <w:rFonts w:hint="eastAsia" w:ascii="仿宋" w:hAnsi="仿宋" w:eastAsia="仿宋" w:cs="仿宋"/>
          <w:b w:val="0"/>
          <w:bCs/>
          <w:snapToGrid w:val="0"/>
          <w:color w:val="000000" w:themeColor="text1"/>
          <w:spacing w:val="6"/>
          <w:kern w:val="0"/>
          <w:sz w:val="24"/>
          <w:szCs w:val="24"/>
          <w:lang w:val="en-US" w:eastAsia="zh-CN"/>
          <w14:textFill>
            <w14:solidFill>
              <w14:schemeClr w14:val="tx1"/>
            </w14:solidFill>
          </w14:textFill>
        </w:rPr>
      </w:pPr>
    </w:p>
    <w:p>
      <w:pPr>
        <w:pageBreakBefore w:val="0"/>
        <w:widowControl/>
        <w:kinsoku w:val="0"/>
        <w:wordWrap/>
        <w:topLinePunct w:val="0"/>
        <w:autoSpaceDE w:val="0"/>
        <w:autoSpaceDN w:val="0"/>
        <w:bidi w:val="0"/>
        <w:adjustRightInd w:val="0"/>
        <w:snapToGrid w:val="0"/>
        <w:spacing w:before="149" w:beforeLines="50" w:line="240" w:lineRule="auto"/>
        <w:ind w:firstLine="504" w:firstLineChars="200"/>
        <w:textAlignment w:val="baseline"/>
        <w:rPr>
          <w:rFonts w:hint="eastAsia" w:ascii="仿宋" w:hAnsi="仿宋" w:eastAsia="仿宋" w:cs="仿宋"/>
          <w:b w:val="0"/>
          <w:bCs/>
          <w:snapToGrid w:val="0"/>
          <w:color w:val="000000" w:themeColor="text1"/>
          <w:spacing w:val="6"/>
          <w:kern w:val="0"/>
          <w:sz w:val="24"/>
          <w:szCs w:val="24"/>
          <w:lang w:val="en-US" w:eastAsia="zh-CN"/>
          <w14:textFill>
            <w14:solidFill>
              <w14:schemeClr w14:val="tx1"/>
            </w14:solidFill>
          </w14:textFill>
        </w:rPr>
      </w:pPr>
    </w:p>
    <w:p>
      <w:pPr>
        <w:rPr>
          <w:rFonts w:hint="eastAsia" w:ascii="微软雅黑" w:hAnsi="微软雅黑" w:eastAsia="微软雅黑" w:cs="微软雅黑"/>
          <w:b w:val="0"/>
          <w:bCs/>
          <w:color w:val="000000" w:themeColor="text1"/>
          <w:kern w:val="2"/>
          <w:sz w:val="32"/>
          <w:szCs w:val="32"/>
          <w:lang w:val="en-US" w:eastAsia="zh-CN" w:bidi="ar-SA"/>
          <w14:textFill>
            <w14:solidFill>
              <w14:schemeClr w14:val="tx1"/>
            </w14:solidFill>
          </w14:textFill>
        </w:rPr>
      </w:pPr>
      <w:r>
        <w:rPr>
          <w:rFonts w:hint="eastAsia" w:ascii="微软雅黑" w:hAnsi="微软雅黑" w:eastAsia="微软雅黑" w:cs="微软雅黑"/>
          <w:b w:val="0"/>
          <w:bCs/>
          <w:color w:val="000000" w:themeColor="text1"/>
          <w:kern w:val="2"/>
          <w:sz w:val="32"/>
          <w:szCs w:val="32"/>
          <w:lang w:val="en-US" w:eastAsia="zh-CN" w:bidi="ar-SA"/>
          <w14:textFill>
            <w14:solidFill>
              <w14:schemeClr w14:val="tx1"/>
            </w14:solidFill>
          </w14:textFill>
        </w:rPr>
        <w:br w:type="page"/>
      </w:r>
    </w:p>
    <w:p>
      <w:pPr>
        <w:pStyle w:val="18"/>
        <w:keepNext w:val="0"/>
        <w:keepLines w:val="0"/>
        <w:pageBreakBefore w:val="0"/>
        <w:numPr>
          <w:ilvl w:val="0"/>
          <w:numId w:val="6"/>
        </w:numPr>
        <w:tabs>
          <w:tab w:val="right" w:leader="dot" w:pos="9897"/>
        </w:tabs>
        <w:kinsoku/>
        <w:wordWrap/>
        <w:overflowPunct/>
        <w:topLinePunct w:val="0"/>
        <w:bidi w:val="0"/>
        <w:adjustRightInd w:val="0"/>
        <w:snapToGrid w:val="0"/>
        <w:spacing w:line="240" w:lineRule="auto"/>
        <w:ind w:left="0" w:leftChars="0" w:firstLine="0" w:firstLineChars="0"/>
        <w:jc w:val="center"/>
        <w:outlineLvl w:val="0"/>
        <w:rPr>
          <w:rFonts w:hint="eastAsia" w:ascii="微软雅黑" w:hAnsi="微软雅黑" w:eastAsia="微软雅黑" w:cs="微软雅黑"/>
          <w:b w:val="0"/>
          <w:bCs/>
          <w:color w:val="00B050"/>
          <w:kern w:val="2"/>
          <w:sz w:val="32"/>
          <w:szCs w:val="32"/>
          <w:lang w:val="en-US" w:eastAsia="zh-CN" w:bidi="ar-SA"/>
        </w:rPr>
      </w:pPr>
      <w:bookmarkStart w:id="18" w:name="_Toc23601"/>
      <w:r>
        <w:rPr>
          <w:rFonts w:hint="eastAsia" w:ascii="微软雅黑" w:hAnsi="微软雅黑" w:eastAsia="微软雅黑" w:cs="微软雅黑"/>
          <w:b w:val="0"/>
          <w:bCs/>
          <w:color w:val="00B050"/>
          <w:kern w:val="2"/>
          <w:sz w:val="32"/>
          <w:szCs w:val="32"/>
          <w:lang w:val="en-US" w:eastAsia="zh-CN" w:bidi="ar-SA"/>
        </w:rPr>
        <w:t>环境风险管理流程</w:t>
      </w:r>
      <w:bookmarkEnd w:id="18"/>
    </w:p>
    <w:p>
      <w:pPr>
        <w:keepNext w:val="0"/>
        <w:keepLines w:val="0"/>
        <w:pageBreakBefore w:val="0"/>
        <w:widowControl/>
        <w:numPr>
          <w:ilvl w:val="0"/>
          <w:numId w:val="0"/>
        </w:numPr>
        <w:kinsoku/>
        <w:wordWrap/>
        <w:overflowPunct/>
        <w:topLinePunct w:val="0"/>
        <w:autoSpaceDE w:val="0"/>
        <w:autoSpaceDN w:val="0"/>
        <w:bidi w:val="0"/>
        <w:adjustRightInd w:val="0"/>
        <w:snapToGrid w:val="0"/>
        <w:spacing w:before="149" w:beforeLines="50" w:line="240" w:lineRule="auto"/>
        <w:ind w:left="0" w:leftChars="0" w:firstLine="0" w:firstLineChars="0"/>
        <w:textAlignment w:val="baseline"/>
        <w:outlineLvl w:val="0"/>
        <w:rPr>
          <w:rFonts w:hint="eastAsia" w:ascii="微软雅黑" w:hAnsi="微软雅黑" w:eastAsia="微软雅黑" w:cs="微软雅黑"/>
          <w:b w:val="0"/>
          <w:bCs/>
          <w:color w:val="000000" w:themeColor="text1"/>
          <w:kern w:val="2"/>
          <w:sz w:val="28"/>
          <w:szCs w:val="28"/>
          <w:lang w:val="en-US" w:eastAsia="zh-CN" w:bidi="ar-SA"/>
          <w14:textFill>
            <w14:solidFill>
              <w14:schemeClr w14:val="tx1"/>
            </w14:solidFill>
          </w14:textFill>
        </w:rPr>
      </w:pPr>
      <w:bookmarkStart w:id="19" w:name="_Toc11842"/>
      <w:r>
        <w:rPr>
          <w:rFonts w:hint="eastAsia" w:ascii="微软雅黑" w:hAnsi="微软雅黑" w:eastAsia="微软雅黑" w:cs="微软雅黑"/>
          <w:b w:val="0"/>
          <w:bCs/>
          <w:color w:val="000000" w:themeColor="text1"/>
          <w:kern w:val="2"/>
          <w:sz w:val="28"/>
          <w:szCs w:val="28"/>
          <w:lang w:val="en-US" w:eastAsia="zh-CN" w:bidi="ar-SA"/>
          <w14:textFill>
            <w14:solidFill>
              <w14:schemeClr w14:val="tx1"/>
            </w14:solidFill>
          </w14:textFill>
        </w:rPr>
        <w:t>5.1 识别和评估环境风险</w:t>
      </w:r>
      <w:bookmarkEnd w:id="19"/>
    </w:p>
    <w:p>
      <w:pPr>
        <w:keepNext w:val="0"/>
        <w:keepLines w:val="0"/>
        <w:pageBreakBefore w:val="0"/>
        <w:widowControl/>
        <w:kinsoku/>
        <w:wordWrap/>
        <w:overflowPunct/>
        <w:topLinePunct w:val="0"/>
        <w:autoSpaceDE w:val="0"/>
        <w:autoSpaceDN w:val="0"/>
        <w:bidi w:val="0"/>
        <w:adjustRightInd w:val="0"/>
        <w:snapToGrid w:val="0"/>
        <w:spacing w:before="217" w:beforeLines="50" w:line="240" w:lineRule="auto"/>
        <w:ind w:firstLine="504"/>
        <w:textAlignment w:val="baseline"/>
        <w:rPr>
          <w:rFonts w:hint="default" w:ascii="仿宋" w:hAnsi="仿宋" w:eastAsia="仿宋" w:cs="仿宋"/>
          <w:b w:val="0"/>
          <w:bCs w:val="0"/>
          <w:color w:val="000000" w:themeColor="text1"/>
          <w:spacing w:val="6"/>
          <w:sz w:val="24"/>
          <w:highlight w:val="none"/>
          <w:lang w:val="en-US" w:eastAsia="zh-CN"/>
          <w14:textFill>
            <w14:solidFill>
              <w14:schemeClr w14:val="tx1"/>
            </w14:solidFill>
          </w14:textFill>
        </w:rPr>
      </w:pPr>
      <w:r>
        <w:rPr>
          <w:rFonts w:hint="default" w:ascii="仿宋" w:hAnsi="仿宋" w:eastAsia="仿宋" w:cs="仿宋"/>
          <w:b w:val="0"/>
          <w:bCs w:val="0"/>
          <w:color w:val="000000" w:themeColor="text1"/>
          <w:spacing w:val="6"/>
          <w:sz w:val="24"/>
          <w:highlight w:val="none"/>
          <w:lang w:val="en-US" w:eastAsia="zh-CN"/>
          <w14:textFill>
            <w14:solidFill>
              <w14:schemeClr w14:val="tx1"/>
            </w14:solidFill>
          </w14:textFill>
        </w:rPr>
        <w:t>扬州农商银行参照气候相关财务信息披露工作组（TCFD）框架及国际可持续披露准则的相关研究成果，立足地方法人银行的经营特征与业务范围，构建了覆盖物理风险与转型风险两大维度的环境风险评估体系，对相关风险和机遇进行系统识别、分类评估与动态监测，形成了一套贯穿“识别—评估—管控—报告”全流程的管理闭环。</w:t>
      </w:r>
    </w:p>
    <w:p>
      <w:pPr>
        <w:keepNext w:val="0"/>
        <w:keepLines w:val="0"/>
        <w:pageBreakBefore w:val="0"/>
        <w:widowControl/>
        <w:kinsoku/>
        <w:wordWrap/>
        <w:overflowPunct/>
        <w:topLinePunct w:val="0"/>
        <w:autoSpaceDE w:val="0"/>
        <w:autoSpaceDN w:val="0"/>
        <w:bidi w:val="0"/>
        <w:adjustRightInd w:val="0"/>
        <w:snapToGrid w:val="0"/>
        <w:spacing w:before="149" w:beforeLines="50" w:line="240" w:lineRule="auto"/>
        <w:ind w:firstLine="480" w:firstLineChars="200"/>
        <w:textAlignment w:val="baseline"/>
        <w:outlineLvl w:val="2"/>
        <w:rPr>
          <w:rFonts w:hint="default" w:ascii="微软雅黑" w:hAnsi="微软雅黑" w:eastAsia="微软雅黑" w:cs="微软雅黑"/>
          <w:b w:val="0"/>
          <w:bCs/>
          <w:color w:val="000000" w:themeColor="text1"/>
          <w:kern w:val="2"/>
          <w:sz w:val="24"/>
          <w:szCs w:val="24"/>
          <w:lang w:val="en-US" w:eastAsia="zh-CN" w:bidi="ar-SA"/>
          <w14:textFill>
            <w14:solidFill>
              <w14:schemeClr w14:val="tx1"/>
            </w14:solidFill>
          </w14:textFill>
        </w:rPr>
      </w:pPr>
      <w:r>
        <w:rPr>
          <w:rFonts w:hint="eastAsia" w:ascii="微软雅黑" w:hAnsi="微软雅黑" w:eastAsia="微软雅黑" w:cs="微软雅黑"/>
          <w:b w:val="0"/>
          <w:bCs/>
          <w:color w:val="000000" w:themeColor="text1"/>
          <w:kern w:val="2"/>
          <w:sz w:val="24"/>
          <w:szCs w:val="24"/>
          <w:lang w:val="en-US" w:eastAsia="zh-CN" w:bidi="ar-SA"/>
          <w14:textFill>
            <w14:solidFill>
              <w14:schemeClr w14:val="tx1"/>
            </w14:solidFill>
          </w14:textFill>
        </w:rPr>
        <w:t>5.1.1</w:t>
      </w:r>
      <w:r>
        <w:rPr>
          <w:rFonts w:hint="default" w:ascii="微软雅黑" w:hAnsi="微软雅黑" w:eastAsia="微软雅黑" w:cs="微软雅黑"/>
          <w:b w:val="0"/>
          <w:bCs/>
          <w:color w:val="000000" w:themeColor="text1"/>
          <w:kern w:val="2"/>
          <w:sz w:val="24"/>
          <w:szCs w:val="24"/>
          <w:lang w:val="en-US" w:eastAsia="zh-CN" w:bidi="ar-SA"/>
          <w14:textFill>
            <w14:solidFill>
              <w14:schemeClr w14:val="tx1"/>
            </w14:solidFill>
          </w14:textFill>
        </w:rPr>
        <w:t>物理风险识别与评估</w:t>
      </w:r>
    </w:p>
    <w:p>
      <w:pPr>
        <w:keepNext w:val="0"/>
        <w:keepLines w:val="0"/>
        <w:pageBreakBefore w:val="0"/>
        <w:widowControl/>
        <w:kinsoku/>
        <w:wordWrap/>
        <w:overflowPunct/>
        <w:topLinePunct w:val="0"/>
        <w:autoSpaceDE w:val="0"/>
        <w:autoSpaceDN w:val="0"/>
        <w:bidi w:val="0"/>
        <w:adjustRightInd w:val="0"/>
        <w:snapToGrid w:val="0"/>
        <w:spacing w:before="217" w:beforeLines="50" w:line="240" w:lineRule="auto"/>
        <w:ind w:firstLine="504"/>
        <w:textAlignment w:val="baseline"/>
        <w:rPr>
          <w:rFonts w:hint="default" w:ascii="仿宋" w:hAnsi="仿宋" w:eastAsia="仿宋" w:cs="仿宋"/>
          <w:b w:val="0"/>
          <w:bCs w:val="0"/>
          <w:color w:val="000000" w:themeColor="text1"/>
          <w:spacing w:val="6"/>
          <w:sz w:val="24"/>
          <w:highlight w:val="none"/>
          <w:lang w:val="en-US" w:eastAsia="zh-CN"/>
          <w14:textFill>
            <w14:solidFill>
              <w14:schemeClr w14:val="tx1"/>
            </w14:solidFill>
          </w14:textFill>
        </w:rPr>
      </w:pPr>
      <w:r>
        <w:rPr>
          <w:rFonts w:hint="default" w:ascii="仿宋" w:hAnsi="仿宋" w:eastAsia="仿宋" w:cs="仿宋"/>
          <w:b w:val="0"/>
          <w:bCs w:val="0"/>
          <w:color w:val="000000" w:themeColor="text1"/>
          <w:spacing w:val="6"/>
          <w:sz w:val="24"/>
          <w:highlight w:val="none"/>
          <w:lang w:val="en-US" w:eastAsia="zh-CN"/>
          <w14:textFill>
            <w14:solidFill>
              <w14:schemeClr w14:val="tx1"/>
            </w14:solidFill>
          </w14:textFill>
        </w:rPr>
        <w:t>本行将物理风险细分为急性与慢性两类。急性物理风险指台风、暴雨、洪涝、干旱等极端气候事件，可能直接损害抵质押物价值、中断企业经营并削弱客户还款能力；慢性物理风险则体现为海平面上升、气温持续升高及降水模式改变等长期趋势，对农业、渔业、旅游业等气候敏感型行业的经营环境与盈利能力构成深远影响。结合扬州地处长江三角洲、水系发达、易受极端天气影响的地理特征，本行在授信决策中重点考量涉农贷款及抵质押物位于自然灾害易发区域的信贷业务。通过开展气候风险压力测试、建立极端天气应急响应机制、完善贷后监控体系等措施，将物理风险的识别与评估嵌入信贷管理全流程，并积极把握气候适应型产业、绿色基础设施建设等领域的业务机遇。</w:t>
      </w:r>
    </w:p>
    <w:p>
      <w:pPr>
        <w:keepNext w:val="0"/>
        <w:keepLines w:val="0"/>
        <w:pageBreakBefore w:val="0"/>
        <w:widowControl/>
        <w:kinsoku/>
        <w:wordWrap/>
        <w:overflowPunct/>
        <w:topLinePunct w:val="0"/>
        <w:autoSpaceDE w:val="0"/>
        <w:autoSpaceDN w:val="0"/>
        <w:bidi w:val="0"/>
        <w:adjustRightInd w:val="0"/>
        <w:snapToGrid w:val="0"/>
        <w:spacing w:before="149" w:beforeLines="50" w:line="240" w:lineRule="auto"/>
        <w:ind w:firstLine="480" w:firstLineChars="200"/>
        <w:textAlignment w:val="baseline"/>
        <w:outlineLvl w:val="2"/>
        <w:rPr>
          <w:rFonts w:hint="default" w:ascii="微软雅黑" w:hAnsi="微软雅黑" w:eastAsia="微软雅黑" w:cs="微软雅黑"/>
          <w:b w:val="0"/>
          <w:bCs/>
          <w:color w:val="000000" w:themeColor="text1"/>
          <w:kern w:val="2"/>
          <w:sz w:val="24"/>
          <w:szCs w:val="24"/>
          <w:lang w:val="en-US" w:eastAsia="zh-CN" w:bidi="ar-SA"/>
          <w14:textFill>
            <w14:solidFill>
              <w14:schemeClr w14:val="tx1"/>
            </w14:solidFill>
          </w14:textFill>
        </w:rPr>
      </w:pPr>
      <w:r>
        <w:rPr>
          <w:rFonts w:hint="eastAsia" w:ascii="微软雅黑" w:hAnsi="微软雅黑" w:eastAsia="微软雅黑" w:cs="微软雅黑"/>
          <w:b w:val="0"/>
          <w:bCs/>
          <w:color w:val="000000" w:themeColor="text1"/>
          <w:kern w:val="2"/>
          <w:sz w:val="24"/>
          <w:szCs w:val="24"/>
          <w:lang w:val="en-US" w:eastAsia="zh-CN" w:bidi="ar-SA"/>
          <w14:textFill>
            <w14:solidFill>
              <w14:schemeClr w14:val="tx1"/>
            </w14:solidFill>
          </w14:textFill>
        </w:rPr>
        <w:t>5.1.2</w:t>
      </w:r>
      <w:r>
        <w:rPr>
          <w:rFonts w:hint="default" w:ascii="微软雅黑" w:hAnsi="微软雅黑" w:eastAsia="微软雅黑" w:cs="微软雅黑"/>
          <w:b w:val="0"/>
          <w:bCs/>
          <w:color w:val="000000" w:themeColor="text1"/>
          <w:kern w:val="2"/>
          <w:sz w:val="24"/>
          <w:szCs w:val="24"/>
          <w:lang w:val="en-US" w:eastAsia="zh-CN" w:bidi="ar-SA"/>
          <w14:textFill>
            <w14:solidFill>
              <w14:schemeClr w14:val="tx1"/>
            </w14:solidFill>
          </w14:textFill>
        </w:rPr>
        <w:t>转型风险识别与评估</w:t>
      </w:r>
    </w:p>
    <w:p>
      <w:pPr>
        <w:keepNext w:val="0"/>
        <w:keepLines w:val="0"/>
        <w:pageBreakBefore w:val="0"/>
        <w:widowControl/>
        <w:kinsoku/>
        <w:wordWrap/>
        <w:overflowPunct/>
        <w:topLinePunct w:val="0"/>
        <w:autoSpaceDE w:val="0"/>
        <w:autoSpaceDN w:val="0"/>
        <w:bidi w:val="0"/>
        <w:adjustRightInd w:val="0"/>
        <w:snapToGrid w:val="0"/>
        <w:spacing w:before="217" w:beforeLines="50" w:line="240" w:lineRule="auto"/>
        <w:ind w:firstLine="504"/>
        <w:textAlignment w:val="baseline"/>
        <w:rPr>
          <w:rFonts w:hint="default" w:ascii="仿宋" w:hAnsi="仿宋" w:eastAsia="仿宋" w:cs="仿宋"/>
          <w:b w:val="0"/>
          <w:bCs w:val="0"/>
          <w:color w:val="000000" w:themeColor="text1"/>
          <w:spacing w:val="6"/>
          <w:sz w:val="24"/>
          <w:highlight w:val="none"/>
          <w:lang w:val="en-US" w:eastAsia="zh-CN"/>
          <w14:textFill>
            <w14:solidFill>
              <w14:schemeClr w14:val="tx1"/>
            </w14:solidFill>
          </w14:textFill>
        </w:rPr>
      </w:pPr>
      <w:r>
        <w:rPr>
          <w:rFonts w:hint="default" w:ascii="仿宋" w:hAnsi="仿宋" w:eastAsia="仿宋" w:cs="仿宋"/>
          <w:b w:val="0"/>
          <w:bCs w:val="0"/>
          <w:color w:val="000000" w:themeColor="text1"/>
          <w:spacing w:val="6"/>
          <w:sz w:val="24"/>
          <w:highlight w:val="none"/>
          <w:lang w:val="en-US" w:eastAsia="zh-CN"/>
          <w14:textFill>
            <w14:solidFill>
              <w14:schemeClr w14:val="tx1"/>
            </w14:solidFill>
          </w14:textFill>
        </w:rPr>
        <w:t>本行重点关注经济社会向低碳模式转型过程中面临的不确定性及其引致的金融风险，主要涵盖四个维度：一是政策和法律风险，随着“双碳”目标推进与环保法规趋严，高耗能、高排放行业面临更严格的排放标准与准入限制，企业成本上升可能影响其还款能力；二是技术风险，清洁能源替代与生产工艺革新可能导致传统产业领域存量信贷资产加速贬值或形成不良；三是市场风险，消费者偏好变化与投资者绿色意识增强可能压缩高碳行业市场份额与融资空间；四是声誉风险，若本行对重大环境违规企业提供金融支持，可能引发社会公众与利益相关方的质疑。在授信准入与存续期管理中，本行将上述转型风险因素嵌入客户信用评级与环境社会风险评估体系，对鼓励类绿色项目积极给予信贷支持，对“两高一剩”及未通过环评审批的项目严格限制准入并逐步压缩退出，有效防范转型风险。</w:t>
      </w:r>
    </w:p>
    <w:p>
      <w:pPr>
        <w:keepNext w:val="0"/>
        <w:keepLines w:val="0"/>
        <w:pageBreakBefore w:val="0"/>
        <w:widowControl/>
        <w:kinsoku/>
        <w:wordWrap/>
        <w:overflowPunct/>
        <w:topLinePunct w:val="0"/>
        <w:autoSpaceDE w:val="0"/>
        <w:autoSpaceDN w:val="0"/>
        <w:bidi w:val="0"/>
        <w:adjustRightInd w:val="0"/>
        <w:snapToGrid w:val="0"/>
        <w:spacing w:before="149" w:beforeLines="50" w:line="240" w:lineRule="auto"/>
        <w:ind w:firstLine="480" w:firstLineChars="200"/>
        <w:textAlignment w:val="baseline"/>
        <w:outlineLvl w:val="2"/>
        <w:rPr>
          <w:rFonts w:hint="default" w:ascii="微软雅黑" w:hAnsi="微软雅黑" w:eastAsia="微软雅黑" w:cs="微软雅黑"/>
          <w:b w:val="0"/>
          <w:bCs/>
          <w:color w:val="000000" w:themeColor="text1"/>
          <w:kern w:val="2"/>
          <w:sz w:val="24"/>
          <w:szCs w:val="24"/>
          <w:lang w:val="en-US" w:eastAsia="zh-CN" w:bidi="ar-SA"/>
          <w14:textFill>
            <w14:solidFill>
              <w14:schemeClr w14:val="tx1"/>
            </w14:solidFill>
          </w14:textFill>
        </w:rPr>
      </w:pPr>
      <w:r>
        <w:rPr>
          <w:rFonts w:hint="eastAsia" w:ascii="微软雅黑" w:hAnsi="微软雅黑" w:eastAsia="微软雅黑" w:cs="微软雅黑"/>
          <w:b w:val="0"/>
          <w:bCs/>
          <w:color w:val="000000" w:themeColor="text1"/>
          <w:kern w:val="2"/>
          <w:sz w:val="24"/>
          <w:szCs w:val="24"/>
          <w:lang w:val="en-US" w:eastAsia="zh-CN" w:bidi="ar-SA"/>
          <w14:textFill>
            <w14:solidFill>
              <w14:schemeClr w14:val="tx1"/>
            </w14:solidFill>
          </w14:textFill>
        </w:rPr>
        <w:t>5.1.3</w:t>
      </w:r>
      <w:r>
        <w:rPr>
          <w:rFonts w:hint="default" w:ascii="微软雅黑" w:hAnsi="微软雅黑" w:eastAsia="微软雅黑" w:cs="微软雅黑"/>
          <w:b w:val="0"/>
          <w:bCs/>
          <w:color w:val="000000" w:themeColor="text1"/>
          <w:kern w:val="2"/>
          <w:sz w:val="24"/>
          <w:szCs w:val="24"/>
          <w:lang w:val="en-US" w:eastAsia="zh-CN" w:bidi="ar-SA"/>
          <w14:textFill>
            <w14:solidFill>
              <w14:schemeClr w14:val="tx1"/>
            </w14:solidFill>
          </w14:textFill>
        </w:rPr>
        <w:t>评估方法与组织保障</w:t>
      </w:r>
    </w:p>
    <w:p>
      <w:pPr>
        <w:keepNext w:val="0"/>
        <w:keepLines w:val="0"/>
        <w:pageBreakBefore w:val="0"/>
        <w:widowControl/>
        <w:kinsoku/>
        <w:wordWrap/>
        <w:overflowPunct/>
        <w:topLinePunct w:val="0"/>
        <w:autoSpaceDE w:val="0"/>
        <w:autoSpaceDN w:val="0"/>
        <w:bidi w:val="0"/>
        <w:adjustRightInd w:val="0"/>
        <w:snapToGrid w:val="0"/>
        <w:spacing w:before="217" w:beforeLines="50" w:line="240" w:lineRule="auto"/>
        <w:ind w:firstLine="504"/>
        <w:textAlignment w:val="baseline"/>
        <w:rPr>
          <w:rFonts w:hint="default" w:ascii="仿宋" w:hAnsi="仿宋" w:eastAsia="仿宋" w:cs="仿宋"/>
          <w:b w:val="0"/>
          <w:bCs w:val="0"/>
          <w:color w:val="000000" w:themeColor="text1"/>
          <w:spacing w:val="6"/>
          <w:sz w:val="24"/>
          <w:highlight w:val="none"/>
          <w:lang w:val="en-US" w:eastAsia="zh-CN"/>
          <w14:textFill>
            <w14:solidFill>
              <w14:schemeClr w14:val="tx1"/>
            </w14:solidFill>
          </w14:textFill>
        </w:rPr>
      </w:pPr>
      <w:r>
        <w:rPr>
          <w:rFonts w:hint="default" w:ascii="仿宋" w:hAnsi="仿宋" w:eastAsia="仿宋" w:cs="仿宋"/>
          <w:b w:val="0"/>
          <w:bCs w:val="0"/>
          <w:color w:val="000000" w:themeColor="text1"/>
          <w:spacing w:val="6"/>
          <w:sz w:val="24"/>
          <w:highlight w:val="none"/>
          <w:lang w:val="en-US" w:eastAsia="zh-CN"/>
          <w14:textFill>
            <w14:solidFill>
              <w14:schemeClr w14:val="tx1"/>
            </w14:solidFill>
          </w14:textFill>
        </w:rPr>
        <w:t>在评估方法方面，本行建立了覆盖“识别—评估—管控—报告”全流程的环境风险评估机制。风险管理部负责制定授信客户环境和社会风险评价标准，将环境风险评价结果嵌入客户信用评级、授信准入、审批及贷后管理等关键环节，定期开展环境风险压力测试与情景分析，量化评估气候风险对资产组合的潜在影响，并对存在重大环境风险的企业实行重点名单管理，制定风险化解措施并督导落实。审计稽核部对绿色信贷业务中环境风险管理制度的执行情况进行独立审计与监督。</w:t>
      </w:r>
    </w:p>
    <w:p>
      <w:pPr>
        <w:keepNext w:val="0"/>
        <w:keepLines w:val="0"/>
        <w:pageBreakBefore w:val="0"/>
        <w:widowControl/>
        <w:kinsoku/>
        <w:wordWrap/>
        <w:overflowPunct/>
        <w:topLinePunct w:val="0"/>
        <w:autoSpaceDE w:val="0"/>
        <w:autoSpaceDN w:val="0"/>
        <w:bidi w:val="0"/>
        <w:adjustRightInd w:val="0"/>
        <w:snapToGrid w:val="0"/>
        <w:spacing w:before="217" w:beforeLines="50" w:line="240" w:lineRule="auto"/>
        <w:ind w:firstLine="504"/>
        <w:textAlignment w:val="baseline"/>
        <w:rPr>
          <w:rFonts w:hint="eastAsia" w:ascii="微软雅黑" w:hAnsi="微软雅黑" w:eastAsia="微软雅黑" w:cs="微软雅黑"/>
          <w:b w:val="0"/>
          <w:bCs/>
          <w:color w:val="000000" w:themeColor="text1"/>
          <w:kern w:val="2"/>
          <w:sz w:val="28"/>
          <w:szCs w:val="28"/>
          <w:lang w:val="en-US" w:eastAsia="zh-CN" w:bidi="ar-SA"/>
          <w14:textFill>
            <w14:solidFill>
              <w14:schemeClr w14:val="tx1"/>
            </w14:solidFill>
          </w14:textFill>
        </w:rPr>
      </w:pPr>
      <w:r>
        <w:rPr>
          <w:rFonts w:hint="default" w:ascii="仿宋" w:hAnsi="仿宋" w:eastAsia="仿宋" w:cs="仿宋"/>
          <w:b w:val="0"/>
          <w:bCs w:val="0"/>
          <w:color w:val="000000" w:themeColor="text1"/>
          <w:spacing w:val="6"/>
          <w:sz w:val="24"/>
          <w:highlight w:val="none"/>
          <w:lang w:val="en-US" w:eastAsia="zh-CN"/>
          <w14:textFill>
            <w14:solidFill>
              <w14:schemeClr w14:val="tx1"/>
            </w14:solidFill>
          </w14:textFill>
        </w:rPr>
        <w:t>通过上述系统性的识别与评估机制，本行能够有效量化并应对环境与气候相关风险，主动把握绿色低碳转型带来的发展机遇，持续提升环境风险管理的专业化、规范化和前瞻化水平，为绿色金融业务的高质量发展提供坚实保障。</w:t>
      </w:r>
    </w:p>
    <w:p>
      <w:pPr>
        <w:pStyle w:val="2"/>
        <w:keepNext w:val="0"/>
        <w:keepLines w:val="0"/>
        <w:pageBreakBefore w:val="0"/>
        <w:widowControl w:val="0"/>
        <w:kinsoku/>
        <w:wordWrap/>
        <w:overflowPunct/>
        <w:topLinePunct w:val="0"/>
        <w:autoSpaceDE/>
        <w:autoSpaceDN/>
        <w:bidi w:val="0"/>
        <w:adjustRightInd/>
        <w:snapToGrid/>
        <w:spacing w:after="0" w:line="240" w:lineRule="auto"/>
        <w:textAlignment w:val="auto"/>
        <w:rPr>
          <w:rFonts w:hint="eastAsia" w:ascii="仿宋" w:hAnsi="仿宋" w:eastAsia="仿宋" w:cs="仿宋"/>
          <w:b w:val="0"/>
          <w:bCs/>
          <w:snapToGrid w:val="0"/>
          <w:color w:val="auto"/>
          <w:spacing w:val="6"/>
          <w:kern w:val="0"/>
          <w:sz w:val="18"/>
          <w:szCs w:val="18"/>
          <w:lang w:val="en-US" w:eastAsia="zh-CN" w:bidi="ar-SA"/>
        </w:rPr>
      </w:pPr>
      <w:bookmarkStart w:id="20" w:name="_Toc21075"/>
    </w:p>
    <w:p>
      <w:pPr>
        <w:keepNext w:val="0"/>
        <w:keepLines w:val="0"/>
        <w:pageBreakBefore w:val="0"/>
        <w:widowControl/>
        <w:numPr>
          <w:ilvl w:val="0"/>
          <w:numId w:val="0"/>
        </w:numPr>
        <w:kinsoku/>
        <w:wordWrap/>
        <w:overflowPunct/>
        <w:topLinePunct w:val="0"/>
        <w:autoSpaceDE w:val="0"/>
        <w:autoSpaceDN w:val="0"/>
        <w:bidi w:val="0"/>
        <w:adjustRightInd w:val="0"/>
        <w:snapToGrid w:val="0"/>
        <w:spacing w:before="149" w:beforeLines="50" w:line="240" w:lineRule="auto"/>
        <w:ind w:left="0" w:leftChars="0" w:firstLine="0" w:firstLineChars="0"/>
        <w:textAlignment w:val="baseline"/>
        <w:outlineLvl w:val="0"/>
        <w:rPr>
          <w:rFonts w:hint="eastAsia" w:ascii="微软雅黑" w:hAnsi="微软雅黑" w:eastAsia="微软雅黑" w:cs="微软雅黑"/>
          <w:b w:val="0"/>
          <w:bCs/>
          <w:color w:val="000000" w:themeColor="text1"/>
          <w:kern w:val="2"/>
          <w:sz w:val="28"/>
          <w:szCs w:val="28"/>
          <w:lang w:val="en-US" w:eastAsia="zh-CN" w:bidi="ar-SA"/>
          <w14:textFill>
            <w14:solidFill>
              <w14:schemeClr w14:val="tx1"/>
            </w14:solidFill>
          </w14:textFill>
        </w:rPr>
      </w:pPr>
      <w:r>
        <w:rPr>
          <w:rFonts w:hint="eastAsia" w:ascii="微软雅黑" w:hAnsi="微软雅黑" w:eastAsia="微软雅黑" w:cs="微软雅黑"/>
          <w:b w:val="0"/>
          <w:bCs/>
          <w:color w:val="000000" w:themeColor="text1"/>
          <w:kern w:val="2"/>
          <w:sz w:val="28"/>
          <w:szCs w:val="28"/>
          <w:lang w:val="en-US" w:eastAsia="zh-CN" w:bidi="ar-SA"/>
          <w14:textFill>
            <w14:solidFill>
              <w14:schemeClr w14:val="tx1"/>
            </w14:solidFill>
          </w14:textFill>
        </w:rPr>
        <w:t>5.2 环境风险的监控流程和防控措施</w:t>
      </w:r>
      <w:bookmarkEnd w:id="20"/>
    </w:p>
    <w:p>
      <w:pPr>
        <w:keepNext w:val="0"/>
        <w:keepLines w:val="0"/>
        <w:pageBreakBefore w:val="0"/>
        <w:widowControl/>
        <w:kinsoku/>
        <w:wordWrap/>
        <w:overflowPunct/>
        <w:topLinePunct w:val="0"/>
        <w:autoSpaceDE w:val="0"/>
        <w:autoSpaceDN w:val="0"/>
        <w:bidi w:val="0"/>
        <w:adjustRightInd w:val="0"/>
        <w:snapToGrid w:val="0"/>
        <w:spacing w:before="149" w:beforeLines="50" w:line="240" w:lineRule="auto"/>
        <w:ind w:firstLine="480" w:firstLineChars="200"/>
        <w:textAlignment w:val="baseline"/>
        <w:outlineLvl w:val="2"/>
        <w:rPr>
          <w:rFonts w:hint="default" w:ascii="微软雅黑" w:hAnsi="微软雅黑" w:eastAsia="微软雅黑" w:cs="微软雅黑"/>
          <w:b w:val="0"/>
          <w:bCs/>
          <w:color w:val="000000" w:themeColor="text1"/>
          <w:kern w:val="2"/>
          <w:sz w:val="24"/>
          <w:szCs w:val="24"/>
          <w:lang w:val="en-US" w:eastAsia="zh-CN" w:bidi="ar-SA"/>
          <w14:textFill>
            <w14:solidFill>
              <w14:schemeClr w14:val="tx1"/>
            </w14:solidFill>
          </w14:textFill>
        </w:rPr>
      </w:pPr>
      <w:r>
        <w:rPr>
          <w:rFonts w:hint="eastAsia" w:ascii="微软雅黑" w:hAnsi="微软雅黑" w:eastAsia="微软雅黑" w:cs="微软雅黑"/>
          <w:b w:val="0"/>
          <w:bCs/>
          <w:color w:val="000000" w:themeColor="text1"/>
          <w:kern w:val="2"/>
          <w:sz w:val="24"/>
          <w:szCs w:val="24"/>
          <w:lang w:val="en-US" w:eastAsia="zh-CN" w:bidi="ar-SA"/>
          <w14:textFill>
            <w14:solidFill>
              <w14:schemeClr w14:val="tx1"/>
            </w14:solidFill>
          </w14:textFill>
        </w:rPr>
        <w:t>5.2.1</w:t>
      </w:r>
      <w:r>
        <w:rPr>
          <w:rFonts w:hint="default" w:ascii="微软雅黑" w:hAnsi="微软雅黑" w:eastAsia="微软雅黑" w:cs="微软雅黑"/>
          <w:b w:val="0"/>
          <w:bCs/>
          <w:color w:val="000000" w:themeColor="text1"/>
          <w:kern w:val="2"/>
          <w:sz w:val="24"/>
          <w:szCs w:val="24"/>
          <w:lang w:val="en-US" w:eastAsia="zh-CN" w:bidi="ar-SA"/>
          <w14:textFill>
            <w14:solidFill>
              <w14:schemeClr w14:val="tx1"/>
            </w14:solidFill>
          </w14:textFill>
        </w:rPr>
        <w:t>环境风险监控流程</w:t>
      </w:r>
    </w:p>
    <w:p>
      <w:pPr>
        <w:keepNext w:val="0"/>
        <w:keepLines w:val="0"/>
        <w:pageBreakBefore w:val="0"/>
        <w:widowControl/>
        <w:kinsoku/>
        <w:wordWrap/>
        <w:overflowPunct/>
        <w:topLinePunct w:val="0"/>
        <w:autoSpaceDE w:val="0"/>
        <w:autoSpaceDN w:val="0"/>
        <w:bidi w:val="0"/>
        <w:adjustRightInd w:val="0"/>
        <w:snapToGrid w:val="0"/>
        <w:spacing w:before="217" w:beforeLines="50" w:line="240" w:lineRule="auto"/>
        <w:ind w:firstLine="504" w:firstLineChars="200"/>
        <w:textAlignment w:val="baseline"/>
        <w:outlineLvl w:val="3"/>
        <w:rPr>
          <w:rFonts w:hint="default" w:ascii="仿宋" w:hAnsi="仿宋" w:eastAsia="仿宋" w:cs="仿宋"/>
          <w:b w:val="0"/>
          <w:bCs w:val="0"/>
          <w:color w:val="000000" w:themeColor="text1"/>
          <w:spacing w:val="6"/>
          <w:sz w:val="24"/>
          <w:highlight w:val="none"/>
          <w:lang w:val="en-US" w:eastAsia="zh-CN"/>
          <w14:textFill>
            <w14:solidFill>
              <w14:schemeClr w14:val="tx1"/>
            </w14:solidFill>
          </w14:textFill>
        </w:rPr>
      </w:pPr>
      <w:r>
        <w:rPr>
          <w:rFonts w:hint="default" w:ascii="仿宋" w:hAnsi="仿宋" w:eastAsia="仿宋" w:cs="仿宋"/>
          <w:b w:val="0"/>
          <w:bCs w:val="0"/>
          <w:color w:val="000000" w:themeColor="text1"/>
          <w:spacing w:val="6"/>
          <w:sz w:val="24"/>
          <w:highlight w:val="none"/>
          <w:lang w:val="en-US" w:eastAsia="zh-CN"/>
          <w14:textFill>
            <w14:solidFill>
              <w14:schemeClr w14:val="tx1"/>
            </w14:solidFill>
          </w14:textFill>
        </w:rPr>
        <w:t>（</w:t>
      </w:r>
      <w:r>
        <w:rPr>
          <w:rFonts w:hint="eastAsia" w:ascii="仿宋" w:hAnsi="仿宋" w:eastAsia="仿宋" w:cs="仿宋"/>
          <w:b w:val="0"/>
          <w:bCs w:val="0"/>
          <w:color w:val="000000" w:themeColor="text1"/>
          <w:spacing w:val="6"/>
          <w:sz w:val="24"/>
          <w:highlight w:val="none"/>
          <w:lang w:val="en-US" w:eastAsia="zh-CN"/>
          <w14:textFill>
            <w14:solidFill>
              <w14:schemeClr w14:val="tx1"/>
            </w14:solidFill>
          </w14:textFill>
        </w:rPr>
        <w:t>1</w:t>
      </w:r>
      <w:r>
        <w:rPr>
          <w:rFonts w:hint="default" w:ascii="仿宋" w:hAnsi="仿宋" w:eastAsia="仿宋" w:cs="仿宋"/>
          <w:b w:val="0"/>
          <w:bCs w:val="0"/>
          <w:color w:val="000000" w:themeColor="text1"/>
          <w:spacing w:val="6"/>
          <w:sz w:val="24"/>
          <w:highlight w:val="none"/>
          <w:lang w:val="en-US" w:eastAsia="zh-CN"/>
          <w14:textFill>
            <w14:solidFill>
              <w14:schemeClr w14:val="tx1"/>
            </w14:solidFill>
          </w14:textFill>
        </w:rPr>
        <w:t>）环境风险识别与评估</w:t>
      </w:r>
    </w:p>
    <w:p>
      <w:pPr>
        <w:keepNext w:val="0"/>
        <w:keepLines w:val="0"/>
        <w:pageBreakBefore w:val="0"/>
        <w:widowControl/>
        <w:kinsoku/>
        <w:wordWrap/>
        <w:overflowPunct/>
        <w:topLinePunct w:val="0"/>
        <w:autoSpaceDE w:val="0"/>
        <w:autoSpaceDN w:val="0"/>
        <w:bidi w:val="0"/>
        <w:adjustRightInd w:val="0"/>
        <w:snapToGrid w:val="0"/>
        <w:spacing w:before="217" w:beforeLines="50" w:line="240" w:lineRule="auto"/>
        <w:ind w:firstLine="504"/>
        <w:textAlignment w:val="baseline"/>
        <w:rPr>
          <w:rFonts w:hint="default" w:ascii="仿宋" w:hAnsi="仿宋" w:eastAsia="仿宋" w:cs="仿宋"/>
          <w:b w:val="0"/>
          <w:bCs w:val="0"/>
          <w:color w:val="000000" w:themeColor="text1"/>
          <w:spacing w:val="6"/>
          <w:sz w:val="24"/>
          <w:highlight w:val="none"/>
          <w:lang w:val="en-US" w:eastAsia="zh-CN"/>
          <w14:textFill>
            <w14:solidFill>
              <w14:schemeClr w14:val="tx1"/>
            </w14:solidFill>
          </w14:textFill>
        </w:rPr>
      </w:pPr>
      <w:r>
        <w:rPr>
          <w:rFonts w:hint="default" w:ascii="仿宋" w:hAnsi="仿宋" w:eastAsia="仿宋" w:cs="仿宋"/>
          <w:b w:val="0"/>
          <w:bCs w:val="0"/>
          <w:color w:val="000000" w:themeColor="text1"/>
          <w:spacing w:val="6"/>
          <w:sz w:val="24"/>
          <w:highlight w:val="none"/>
          <w:lang w:val="en-US" w:eastAsia="zh-CN"/>
          <w14:textFill>
            <w14:solidFill>
              <w14:schemeClr w14:val="tx1"/>
            </w14:solidFill>
          </w14:textFill>
        </w:rPr>
        <w:t>本行制定了《环境风险管理制度》，明确了环境风险的识别、评估、监控和应对措施。风险管理部负责制定授信客户环境和社会风险评价标准，将环境风险评价结果嵌入客户信用评级、授信准入、审批及贷后管理等关键环节。在授信准入阶段，本行将企业的环评情况作为授信的重要参考依据；在存续期管理中，持续跟踪客户环境表现，对存在重大环境风险的企业实行重点名单管理，制定风险化解措施并督导落实。</w:t>
      </w:r>
    </w:p>
    <w:p>
      <w:pPr>
        <w:keepNext w:val="0"/>
        <w:keepLines w:val="0"/>
        <w:pageBreakBefore w:val="0"/>
        <w:widowControl/>
        <w:kinsoku/>
        <w:wordWrap/>
        <w:overflowPunct/>
        <w:topLinePunct w:val="0"/>
        <w:autoSpaceDE w:val="0"/>
        <w:autoSpaceDN w:val="0"/>
        <w:bidi w:val="0"/>
        <w:adjustRightInd w:val="0"/>
        <w:snapToGrid w:val="0"/>
        <w:spacing w:before="217" w:beforeLines="50" w:line="240" w:lineRule="auto"/>
        <w:ind w:firstLine="504" w:firstLineChars="200"/>
        <w:textAlignment w:val="baseline"/>
        <w:outlineLvl w:val="3"/>
        <w:rPr>
          <w:rFonts w:hint="default" w:ascii="仿宋" w:hAnsi="仿宋" w:eastAsia="仿宋" w:cs="仿宋"/>
          <w:b w:val="0"/>
          <w:bCs w:val="0"/>
          <w:color w:val="000000" w:themeColor="text1"/>
          <w:spacing w:val="6"/>
          <w:sz w:val="24"/>
          <w:highlight w:val="none"/>
          <w:lang w:val="en-US" w:eastAsia="zh-CN"/>
          <w14:textFill>
            <w14:solidFill>
              <w14:schemeClr w14:val="tx1"/>
            </w14:solidFill>
          </w14:textFill>
        </w:rPr>
      </w:pPr>
      <w:r>
        <w:rPr>
          <w:rFonts w:hint="default" w:ascii="仿宋" w:hAnsi="仿宋" w:eastAsia="仿宋" w:cs="仿宋"/>
          <w:b w:val="0"/>
          <w:bCs w:val="0"/>
          <w:color w:val="000000" w:themeColor="text1"/>
          <w:spacing w:val="6"/>
          <w:sz w:val="24"/>
          <w:highlight w:val="none"/>
          <w:lang w:val="en-US" w:eastAsia="zh-CN"/>
          <w14:textFill>
            <w14:solidFill>
              <w14:schemeClr w14:val="tx1"/>
            </w14:solidFill>
          </w14:textFill>
        </w:rPr>
        <w:t>（</w:t>
      </w:r>
      <w:r>
        <w:rPr>
          <w:rFonts w:hint="eastAsia" w:ascii="仿宋" w:hAnsi="仿宋" w:eastAsia="仿宋" w:cs="仿宋"/>
          <w:b w:val="0"/>
          <w:bCs w:val="0"/>
          <w:color w:val="000000" w:themeColor="text1"/>
          <w:spacing w:val="6"/>
          <w:sz w:val="24"/>
          <w:highlight w:val="none"/>
          <w:lang w:val="en-US" w:eastAsia="zh-CN"/>
          <w14:textFill>
            <w14:solidFill>
              <w14:schemeClr w14:val="tx1"/>
            </w14:solidFill>
          </w14:textFill>
        </w:rPr>
        <w:t>2</w:t>
      </w:r>
      <w:r>
        <w:rPr>
          <w:rFonts w:hint="default" w:ascii="仿宋" w:hAnsi="仿宋" w:eastAsia="仿宋" w:cs="仿宋"/>
          <w:b w:val="0"/>
          <w:bCs w:val="0"/>
          <w:color w:val="000000" w:themeColor="text1"/>
          <w:spacing w:val="6"/>
          <w:sz w:val="24"/>
          <w:highlight w:val="none"/>
          <w:lang w:val="en-US" w:eastAsia="zh-CN"/>
          <w14:textFill>
            <w14:solidFill>
              <w14:schemeClr w14:val="tx1"/>
            </w14:solidFill>
          </w14:textFill>
        </w:rPr>
        <w:t>）环境风险监测与预警</w:t>
      </w:r>
    </w:p>
    <w:p>
      <w:pPr>
        <w:keepNext w:val="0"/>
        <w:keepLines w:val="0"/>
        <w:pageBreakBefore w:val="0"/>
        <w:widowControl/>
        <w:kinsoku/>
        <w:wordWrap/>
        <w:overflowPunct/>
        <w:topLinePunct w:val="0"/>
        <w:autoSpaceDE w:val="0"/>
        <w:autoSpaceDN w:val="0"/>
        <w:bidi w:val="0"/>
        <w:adjustRightInd w:val="0"/>
        <w:snapToGrid w:val="0"/>
        <w:spacing w:before="217" w:beforeLines="50" w:line="240" w:lineRule="auto"/>
        <w:ind w:firstLine="504"/>
        <w:textAlignment w:val="baseline"/>
        <w:rPr>
          <w:rFonts w:hint="default" w:ascii="仿宋" w:hAnsi="仿宋" w:eastAsia="仿宋" w:cs="仿宋"/>
          <w:b w:val="0"/>
          <w:bCs w:val="0"/>
          <w:color w:val="000000" w:themeColor="text1"/>
          <w:spacing w:val="6"/>
          <w:sz w:val="24"/>
          <w:highlight w:val="none"/>
          <w:lang w:val="en-US" w:eastAsia="zh-CN"/>
          <w14:textFill>
            <w14:solidFill>
              <w14:schemeClr w14:val="tx1"/>
            </w14:solidFill>
          </w14:textFill>
        </w:rPr>
      </w:pPr>
      <w:r>
        <w:rPr>
          <w:rFonts w:hint="default" w:ascii="仿宋" w:hAnsi="仿宋" w:eastAsia="仿宋" w:cs="仿宋"/>
          <w:b w:val="0"/>
          <w:bCs w:val="0"/>
          <w:color w:val="000000" w:themeColor="text1"/>
          <w:spacing w:val="6"/>
          <w:sz w:val="24"/>
          <w:highlight w:val="none"/>
          <w:lang w:val="en-US" w:eastAsia="zh-CN"/>
          <w14:textFill>
            <w14:solidFill>
              <w14:schemeClr w14:val="tx1"/>
            </w14:solidFill>
          </w14:textFill>
        </w:rPr>
        <w:t>本行构建了多维度的环境风险监测机制。一是依托与扬州市生态环境局建立的信息共享平台，环保部门定期向本行提供企业环境信用评价、环保违规处罚等信息；二是建立“绿色标签”数据库，将企业环评、能耗、排污许可等数据嵌入信贷管理系统；三是建立负面清单机制，对客户环保违规行为实时推送预警；四是定期开展环境风险压力测试与情景分析，量化评估气候风险对资产组合的潜在影响。</w:t>
      </w:r>
    </w:p>
    <w:p>
      <w:pPr>
        <w:keepNext w:val="0"/>
        <w:keepLines w:val="0"/>
        <w:pageBreakBefore w:val="0"/>
        <w:widowControl/>
        <w:kinsoku/>
        <w:wordWrap/>
        <w:overflowPunct/>
        <w:topLinePunct w:val="0"/>
        <w:autoSpaceDE w:val="0"/>
        <w:autoSpaceDN w:val="0"/>
        <w:bidi w:val="0"/>
        <w:adjustRightInd w:val="0"/>
        <w:snapToGrid w:val="0"/>
        <w:spacing w:before="217" w:beforeLines="50" w:line="240" w:lineRule="auto"/>
        <w:ind w:firstLine="504" w:firstLineChars="200"/>
        <w:textAlignment w:val="baseline"/>
        <w:outlineLvl w:val="3"/>
        <w:rPr>
          <w:rFonts w:hint="default" w:ascii="仿宋" w:hAnsi="仿宋" w:eastAsia="仿宋" w:cs="仿宋"/>
          <w:b w:val="0"/>
          <w:bCs w:val="0"/>
          <w:color w:val="000000" w:themeColor="text1"/>
          <w:spacing w:val="6"/>
          <w:sz w:val="24"/>
          <w:highlight w:val="none"/>
          <w:lang w:val="en-US" w:eastAsia="zh-CN"/>
          <w14:textFill>
            <w14:solidFill>
              <w14:schemeClr w14:val="tx1"/>
            </w14:solidFill>
          </w14:textFill>
        </w:rPr>
      </w:pPr>
      <w:r>
        <w:rPr>
          <w:rFonts w:hint="default" w:ascii="仿宋" w:hAnsi="仿宋" w:eastAsia="仿宋" w:cs="仿宋"/>
          <w:b w:val="0"/>
          <w:bCs w:val="0"/>
          <w:color w:val="000000" w:themeColor="text1"/>
          <w:spacing w:val="6"/>
          <w:sz w:val="24"/>
          <w:highlight w:val="none"/>
          <w:lang w:val="en-US" w:eastAsia="zh-CN"/>
          <w14:textFill>
            <w14:solidFill>
              <w14:schemeClr w14:val="tx1"/>
            </w14:solidFill>
          </w14:textFill>
        </w:rPr>
        <w:t>（</w:t>
      </w:r>
      <w:r>
        <w:rPr>
          <w:rFonts w:hint="eastAsia" w:ascii="仿宋" w:hAnsi="仿宋" w:eastAsia="仿宋" w:cs="仿宋"/>
          <w:b w:val="0"/>
          <w:bCs w:val="0"/>
          <w:color w:val="000000" w:themeColor="text1"/>
          <w:spacing w:val="6"/>
          <w:sz w:val="24"/>
          <w:highlight w:val="none"/>
          <w:lang w:val="en-US" w:eastAsia="zh-CN"/>
          <w14:textFill>
            <w14:solidFill>
              <w14:schemeClr w14:val="tx1"/>
            </w14:solidFill>
          </w14:textFill>
        </w:rPr>
        <w:t>3</w:t>
      </w:r>
      <w:r>
        <w:rPr>
          <w:rFonts w:hint="default" w:ascii="仿宋" w:hAnsi="仿宋" w:eastAsia="仿宋" w:cs="仿宋"/>
          <w:b w:val="0"/>
          <w:bCs w:val="0"/>
          <w:color w:val="000000" w:themeColor="text1"/>
          <w:spacing w:val="6"/>
          <w:sz w:val="24"/>
          <w:highlight w:val="none"/>
          <w:lang w:val="en-US" w:eastAsia="zh-CN"/>
          <w14:textFill>
            <w14:solidFill>
              <w14:schemeClr w14:val="tx1"/>
            </w14:solidFill>
          </w14:textFill>
        </w:rPr>
        <w:t>）环境风险报告与监督</w:t>
      </w:r>
    </w:p>
    <w:p>
      <w:pPr>
        <w:keepNext w:val="0"/>
        <w:keepLines w:val="0"/>
        <w:pageBreakBefore w:val="0"/>
        <w:widowControl/>
        <w:kinsoku/>
        <w:wordWrap/>
        <w:overflowPunct/>
        <w:topLinePunct w:val="0"/>
        <w:autoSpaceDE w:val="0"/>
        <w:autoSpaceDN w:val="0"/>
        <w:bidi w:val="0"/>
        <w:adjustRightInd w:val="0"/>
        <w:snapToGrid w:val="0"/>
        <w:spacing w:before="217" w:beforeLines="50" w:line="240" w:lineRule="auto"/>
        <w:ind w:firstLine="504"/>
        <w:textAlignment w:val="baseline"/>
        <w:rPr>
          <w:rFonts w:hint="default" w:ascii="仿宋" w:hAnsi="仿宋" w:eastAsia="仿宋" w:cs="仿宋"/>
          <w:b w:val="0"/>
          <w:bCs w:val="0"/>
          <w:color w:val="000000" w:themeColor="text1"/>
          <w:spacing w:val="6"/>
          <w:sz w:val="24"/>
          <w:highlight w:val="none"/>
          <w:lang w:val="en-US" w:eastAsia="zh-CN"/>
          <w14:textFill>
            <w14:solidFill>
              <w14:schemeClr w14:val="tx1"/>
            </w14:solidFill>
          </w14:textFill>
        </w:rPr>
      </w:pPr>
      <w:r>
        <w:rPr>
          <w:rFonts w:hint="default" w:ascii="仿宋" w:hAnsi="仿宋" w:eastAsia="仿宋" w:cs="仿宋"/>
          <w:b w:val="0"/>
          <w:bCs w:val="0"/>
          <w:color w:val="000000" w:themeColor="text1"/>
          <w:spacing w:val="6"/>
          <w:sz w:val="24"/>
          <w:highlight w:val="none"/>
          <w:lang w:val="en-US" w:eastAsia="zh-CN"/>
          <w14:textFill>
            <w14:solidFill>
              <w14:schemeClr w14:val="tx1"/>
            </w14:solidFill>
          </w14:textFill>
        </w:rPr>
        <w:t>本行建立了常态化的环境风险报告机制。审计稽核部对绿色信贷业务中环境风险管理制度的执行情况进行独立审计与监督。本行也将绿色金融支持的项目进展情况及时反馈给环保部门，共同监督项目的环境效益实现情况。</w:t>
      </w:r>
    </w:p>
    <w:p>
      <w:pPr>
        <w:keepNext w:val="0"/>
        <w:keepLines w:val="0"/>
        <w:pageBreakBefore w:val="0"/>
        <w:widowControl/>
        <w:kinsoku/>
        <w:wordWrap/>
        <w:overflowPunct/>
        <w:topLinePunct w:val="0"/>
        <w:autoSpaceDE w:val="0"/>
        <w:autoSpaceDN w:val="0"/>
        <w:bidi w:val="0"/>
        <w:adjustRightInd w:val="0"/>
        <w:snapToGrid w:val="0"/>
        <w:spacing w:before="149" w:beforeLines="50" w:line="240" w:lineRule="auto"/>
        <w:ind w:firstLine="480" w:firstLineChars="200"/>
        <w:textAlignment w:val="baseline"/>
        <w:outlineLvl w:val="2"/>
        <w:rPr>
          <w:rFonts w:hint="default" w:ascii="微软雅黑" w:hAnsi="微软雅黑" w:eastAsia="微软雅黑" w:cs="微软雅黑"/>
          <w:b w:val="0"/>
          <w:bCs/>
          <w:color w:val="000000" w:themeColor="text1"/>
          <w:kern w:val="2"/>
          <w:sz w:val="24"/>
          <w:szCs w:val="24"/>
          <w:lang w:val="en-US" w:eastAsia="zh-CN" w:bidi="ar-SA"/>
          <w14:textFill>
            <w14:solidFill>
              <w14:schemeClr w14:val="tx1"/>
            </w14:solidFill>
          </w14:textFill>
        </w:rPr>
      </w:pPr>
      <w:r>
        <w:rPr>
          <w:rFonts w:hint="eastAsia" w:ascii="微软雅黑" w:hAnsi="微软雅黑" w:eastAsia="微软雅黑" w:cs="微软雅黑"/>
          <w:b w:val="0"/>
          <w:bCs/>
          <w:color w:val="000000" w:themeColor="text1"/>
          <w:kern w:val="2"/>
          <w:sz w:val="24"/>
          <w:szCs w:val="24"/>
          <w:lang w:val="en-US" w:eastAsia="zh-CN" w:bidi="ar-SA"/>
          <w14:textFill>
            <w14:solidFill>
              <w14:schemeClr w14:val="tx1"/>
            </w14:solidFill>
          </w14:textFill>
        </w:rPr>
        <w:t>5.2.2</w:t>
      </w:r>
      <w:r>
        <w:rPr>
          <w:rFonts w:hint="default" w:ascii="微软雅黑" w:hAnsi="微软雅黑" w:eastAsia="微软雅黑" w:cs="微软雅黑"/>
          <w:b w:val="0"/>
          <w:bCs/>
          <w:color w:val="000000" w:themeColor="text1"/>
          <w:kern w:val="2"/>
          <w:sz w:val="24"/>
          <w:szCs w:val="24"/>
          <w:lang w:val="en-US" w:eastAsia="zh-CN" w:bidi="ar-SA"/>
          <w14:textFill>
            <w14:solidFill>
              <w14:schemeClr w14:val="tx1"/>
            </w14:solidFill>
          </w14:textFill>
        </w:rPr>
        <w:t>环境风险防控措施</w:t>
      </w:r>
    </w:p>
    <w:p>
      <w:pPr>
        <w:keepNext w:val="0"/>
        <w:keepLines w:val="0"/>
        <w:pageBreakBefore w:val="0"/>
        <w:widowControl/>
        <w:kinsoku/>
        <w:wordWrap/>
        <w:overflowPunct/>
        <w:topLinePunct w:val="0"/>
        <w:autoSpaceDE w:val="0"/>
        <w:autoSpaceDN w:val="0"/>
        <w:bidi w:val="0"/>
        <w:adjustRightInd w:val="0"/>
        <w:snapToGrid w:val="0"/>
        <w:spacing w:before="217" w:beforeLines="50" w:line="240" w:lineRule="auto"/>
        <w:ind w:firstLine="504" w:firstLineChars="200"/>
        <w:textAlignment w:val="baseline"/>
        <w:outlineLvl w:val="3"/>
        <w:rPr>
          <w:rFonts w:hint="default" w:ascii="仿宋" w:hAnsi="仿宋" w:eastAsia="仿宋" w:cs="仿宋"/>
          <w:b w:val="0"/>
          <w:bCs w:val="0"/>
          <w:color w:val="000000" w:themeColor="text1"/>
          <w:spacing w:val="6"/>
          <w:sz w:val="24"/>
          <w:highlight w:val="none"/>
          <w:lang w:val="en-US" w:eastAsia="zh-CN"/>
          <w14:textFill>
            <w14:solidFill>
              <w14:schemeClr w14:val="tx1"/>
            </w14:solidFill>
          </w14:textFill>
        </w:rPr>
      </w:pPr>
      <w:r>
        <w:rPr>
          <w:rFonts w:hint="default" w:ascii="仿宋" w:hAnsi="仿宋" w:eastAsia="仿宋" w:cs="仿宋"/>
          <w:b w:val="0"/>
          <w:bCs w:val="0"/>
          <w:color w:val="000000" w:themeColor="text1"/>
          <w:spacing w:val="6"/>
          <w:sz w:val="24"/>
          <w:highlight w:val="none"/>
          <w:lang w:val="en-US" w:eastAsia="zh-CN"/>
          <w14:textFill>
            <w14:solidFill>
              <w14:schemeClr w14:val="tx1"/>
            </w14:solidFill>
          </w14:textFill>
        </w:rPr>
        <w:t>（</w:t>
      </w:r>
      <w:r>
        <w:rPr>
          <w:rFonts w:hint="eastAsia" w:ascii="仿宋" w:hAnsi="仿宋" w:eastAsia="仿宋" w:cs="仿宋"/>
          <w:b w:val="0"/>
          <w:bCs w:val="0"/>
          <w:color w:val="000000" w:themeColor="text1"/>
          <w:spacing w:val="6"/>
          <w:sz w:val="24"/>
          <w:highlight w:val="none"/>
          <w:lang w:val="en-US" w:eastAsia="zh-CN"/>
          <w14:textFill>
            <w14:solidFill>
              <w14:schemeClr w14:val="tx1"/>
            </w14:solidFill>
          </w14:textFill>
        </w:rPr>
        <w:t>1</w:t>
      </w:r>
      <w:r>
        <w:rPr>
          <w:rFonts w:hint="default" w:ascii="仿宋" w:hAnsi="仿宋" w:eastAsia="仿宋" w:cs="仿宋"/>
          <w:b w:val="0"/>
          <w:bCs w:val="0"/>
          <w:color w:val="000000" w:themeColor="text1"/>
          <w:spacing w:val="6"/>
          <w:sz w:val="24"/>
          <w:highlight w:val="none"/>
          <w:lang w:val="en-US" w:eastAsia="zh-CN"/>
          <w14:textFill>
            <w14:solidFill>
              <w14:schemeClr w14:val="tx1"/>
            </w14:solidFill>
          </w14:textFill>
        </w:rPr>
        <w:t>）制度防控</w:t>
      </w:r>
    </w:p>
    <w:p>
      <w:pPr>
        <w:keepNext w:val="0"/>
        <w:keepLines w:val="0"/>
        <w:pageBreakBefore w:val="0"/>
        <w:widowControl/>
        <w:kinsoku/>
        <w:wordWrap/>
        <w:overflowPunct/>
        <w:topLinePunct w:val="0"/>
        <w:autoSpaceDE w:val="0"/>
        <w:autoSpaceDN w:val="0"/>
        <w:bidi w:val="0"/>
        <w:adjustRightInd w:val="0"/>
        <w:snapToGrid w:val="0"/>
        <w:spacing w:before="217" w:beforeLines="50" w:line="240" w:lineRule="auto"/>
        <w:ind w:firstLine="504"/>
        <w:textAlignment w:val="baseline"/>
        <w:rPr>
          <w:rFonts w:hint="default" w:ascii="仿宋" w:hAnsi="仿宋" w:eastAsia="仿宋" w:cs="仿宋"/>
          <w:b w:val="0"/>
          <w:bCs w:val="0"/>
          <w:color w:val="000000" w:themeColor="text1"/>
          <w:spacing w:val="6"/>
          <w:sz w:val="24"/>
          <w:highlight w:val="none"/>
          <w:lang w:val="en-US" w:eastAsia="zh-CN"/>
          <w14:textFill>
            <w14:solidFill>
              <w14:schemeClr w14:val="tx1"/>
            </w14:solidFill>
          </w14:textFill>
        </w:rPr>
      </w:pPr>
      <w:r>
        <w:rPr>
          <w:rFonts w:hint="default" w:ascii="仿宋" w:hAnsi="仿宋" w:eastAsia="仿宋" w:cs="仿宋"/>
          <w:b w:val="0"/>
          <w:bCs w:val="0"/>
          <w:color w:val="000000" w:themeColor="text1"/>
          <w:spacing w:val="6"/>
          <w:sz w:val="24"/>
          <w:highlight w:val="none"/>
          <w:lang w:val="en-US" w:eastAsia="zh-CN"/>
          <w14:textFill>
            <w14:solidFill>
              <w14:schemeClr w14:val="tx1"/>
            </w14:solidFill>
          </w14:textFill>
        </w:rPr>
        <w:t>本行根据国家环保法律法规、产业政策、行业准入政策等规定，建立并不断完善环境与社会风险管理、授信管理、绿色分类标准、资源配置政策、审计、内控合规、绿色运营等方面的政策和制度。将节能环保作为客户评级、信贷准入、授信管理及业务退出的重要依据。对“两高一剩”及未通过环评审批的项目严格限制准入并逐步压缩退出。</w:t>
      </w:r>
    </w:p>
    <w:p>
      <w:pPr>
        <w:keepNext w:val="0"/>
        <w:keepLines w:val="0"/>
        <w:pageBreakBefore w:val="0"/>
        <w:widowControl/>
        <w:kinsoku/>
        <w:wordWrap/>
        <w:overflowPunct/>
        <w:topLinePunct w:val="0"/>
        <w:autoSpaceDE w:val="0"/>
        <w:autoSpaceDN w:val="0"/>
        <w:bidi w:val="0"/>
        <w:adjustRightInd w:val="0"/>
        <w:snapToGrid w:val="0"/>
        <w:spacing w:before="217" w:beforeLines="50" w:line="240" w:lineRule="auto"/>
        <w:ind w:firstLine="504" w:firstLineChars="200"/>
        <w:textAlignment w:val="baseline"/>
        <w:outlineLvl w:val="3"/>
        <w:rPr>
          <w:rFonts w:hint="default" w:ascii="仿宋" w:hAnsi="仿宋" w:eastAsia="仿宋" w:cs="仿宋"/>
          <w:b w:val="0"/>
          <w:bCs w:val="0"/>
          <w:color w:val="000000" w:themeColor="text1"/>
          <w:spacing w:val="6"/>
          <w:sz w:val="24"/>
          <w:highlight w:val="none"/>
          <w:lang w:val="en-US" w:eastAsia="zh-CN"/>
          <w14:textFill>
            <w14:solidFill>
              <w14:schemeClr w14:val="tx1"/>
            </w14:solidFill>
          </w14:textFill>
        </w:rPr>
      </w:pPr>
      <w:r>
        <w:rPr>
          <w:rFonts w:hint="default" w:ascii="仿宋" w:hAnsi="仿宋" w:eastAsia="仿宋" w:cs="仿宋"/>
          <w:b w:val="0"/>
          <w:bCs w:val="0"/>
          <w:color w:val="000000" w:themeColor="text1"/>
          <w:spacing w:val="6"/>
          <w:sz w:val="24"/>
          <w:highlight w:val="none"/>
          <w:lang w:val="en-US" w:eastAsia="zh-CN"/>
          <w14:textFill>
            <w14:solidFill>
              <w14:schemeClr w14:val="tx1"/>
            </w14:solidFill>
          </w14:textFill>
        </w:rPr>
        <w:t>（</w:t>
      </w:r>
      <w:r>
        <w:rPr>
          <w:rFonts w:hint="eastAsia" w:ascii="仿宋" w:hAnsi="仿宋" w:eastAsia="仿宋" w:cs="仿宋"/>
          <w:b w:val="0"/>
          <w:bCs w:val="0"/>
          <w:color w:val="000000" w:themeColor="text1"/>
          <w:spacing w:val="6"/>
          <w:sz w:val="24"/>
          <w:highlight w:val="none"/>
          <w:lang w:val="en-US" w:eastAsia="zh-CN"/>
          <w14:textFill>
            <w14:solidFill>
              <w14:schemeClr w14:val="tx1"/>
            </w14:solidFill>
          </w14:textFill>
        </w:rPr>
        <w:t>2</w:t>
      </w:r>
      <w:r>
        <w:rPr>
          <w:rFonts w:hint="default" w:ascii="仿宋" w:hAnsi="仿宋" w:eastAsia="仿宋" w:cs="仿宋"/>
          <w:b w:val="0"/>
          <w:bCs w:val="0"/>
          <w:color w:val="000000" w:themeColor="text1"/>
          <w:spacing w:val="6"/>
          <w:sz w:val="24"/>
          <w:highlight w:val="none"/>
          <w:lang w:val="en-US" w:eastAsia="zh-CN"/>
          <w14:textFill>
            <w14:solidFill>
              <w14:schemeClr w14:val="tx1"/>
            </w14:solidFill>
          </w14:textFill>
        </w:rPr>
        <w:t>）信贷全流程防控</w:t>
      </w:r>
    </w:p>
    <w:p>
      <w:pPr>
        <w:keepNext w:val="0"/>
        <w:keepLines w:val="0"/>
        <w:pageBreakBefore w:val="0"/>
        <w:widowControl/>
        <w:kinsoku/>
        <w:wordWrap/>
        <w:overflowPunct/>
        <w:topLinePunct w:val="0"/>
        <w:autoSpaceDE w:val="0"/>
        <w:autoSpaceDN w:val="0"/>
        <w:bidi w:val="0"/>
        <w:adjustRightInd w:val="0"/>
        <w:snapToGrid w:val="0"/>
        <w:spacing w:before="217" w:beforeLines="50" w:line="240" w:lineRule="auto"/>
        <w:ind w:firstLine="504"/>
        <w:textAlignment w:val="baseline"/>
        <w:rPr>
          <w:rFonts w:hint="default" w:ascii="仿宋" w:hAnsi="仿宋" w:eastAsia="仿宋" w:cs="仿宋"/>
          <w:b w:val="0"/>
          <w:bCs w:val="0"/>
          <w:color w:val="000000" w:themeColor="text1"/>
          <w:spacing w:val="6"/>
          <w:sz w:val="24"/>
          <w:highlight w:val="none"/>
          <w:lang w:val="en-US" w:eastAsia="zh-CN"/>
          <w14:textFill>
            <w14:solidFill>
              <w14:schemeClr w14:val="tx1"/>
            </w14:solidFill>
          </w14:textFill>
        </w:rPr>
      </w:pPr>
      <w:r>
        <w:rPr>
          <w:rFonts w:hint="default" w:ascii="仿宋" w:hAnsi="仿宋" w:eastAsia="仿宋" w:cs="仿宋"/>
          <w:b w:val="0"/>
          <w:bCs w:val="0"/>
          <w:color w:val="000000" w:themeColor="text1"/>
          <w:spacing w:val="6"/>
          <w:sz w:val="24"/>
          <w:highlight w:val="none"/>
          <w:lang w:val="en-US" w:eastAsia="zh-CN"/>
          <w14:textFill>
            <w14:solidFill>
              <w14:schemeClr w14:val="tx1"/>
            </w14:solidFill>
          </w14:textFill>
        </w:rPr>
        <w:t>本行将环境风险防控嵌入信贷业务全流程：贷前环节，将企业环评情况作为授信的重要参考依据；贷中环节，将环境风险评价结果嵌入授信审批流程；贷后环节，持续跟踪客户环境表现，对存在重大环境风险的企业实行重点名单管理，制定风险化解措施并督导落实。本行严格遵循“有保有压”“有进有退”的原则，对属于鼓励类的绿色项目积极给予信贷支持。</w:t>
      </w:r>
    </w:p>
    <w:p>
      <w:pPr>
        <w:keepNext w:val="0"/>
        <w:keepLines w:val="0"/>
        <w:pageBreakBefore w:val="0"/>
        <w:widowControl/>
        <w:kinsoku/>
        <w:wordWrap/>
        <w:overflowPunct/>
        <w:topLinePunct w:val="0"/>
        <w:autoSpaceDE w:val="0"/>
        <w:autoSpaceDN w:val="0"/>
        <w:bidi w:val="0"/>
        <w:adjustRightInd w:val="0"/>
        <w:snapToGrid w:val="0"/>
        <w:spacing w:before="217" w:beforeLines="50" w:line="240" w:lineRule="auto"/>
        <w:ind w:firstLine="504" w:firstLineChars="200"/>
        <w:textAlignment w:val="baseline"/>
        <w:outlineLvl w:val="3"/>
        <w:rPr>
          <w:rFonts w:hint="default" w:ascii="仿宋" w:hAnsi="仿宋" w:eastAsia="仿宋" w:cs="仿宋"/>
          <w:b w:val="0"/>
          <w:bCs w:val="0"/>
          <w:color w:val="000000" w:themeColor="text1"/>
          <w:spacing w:val="6"/>
          <w:sz w:val="24"/>
          <w:highlight w:val="none"/>
          <w:lang w:val="en-US" w:eastAsia="zh-CN"/>
          <w14:textFill>
            <w14:solidFill>
              <w14:schemeClr w14:val="tx1"/>
            </w14:solidFill>
          </w14:textFill>
        </w:rPr>
      </w:pPr>
      <w:r>
        <w:rPr>
          <w:rFonts w:hint="default" w:ascii="仿宋" w:hAnsi="仿宋" w:eastAsia="仿宋" w:cs="仿宋"/>
          <w:b w:val="0"/>
          <w:bCs w:val="0"/>
          <w:color w:val="000000" w:themeColor="text1"/>
          <w:spacing w:val="6"/>
          <w:sz w:val="24"/>
          <w:highlight w:val="none"/>
          <w:lang w:val="en-US" w:eastAsia="zh-CN"/>
          <w14:textFill>
            <w14:solidFill>
              <w14:schemeClr w14:val="tx1"/>
            </w14:solidFill>
          </w14:textFill>
        </w:rPr>
        <w:t>（</w:t>
      </w:r>
      <w:r>
        <w:rPr>
          <w:rFonts w:hint="eastAsia" w:ascii="仿宋" w:hAnsi="仿宋" w:eastAsia="仿宋" w:cs="仿宋"/>
          <w:b w:val="0"/>
          <w:bCs w:val="0"/>
          <w:color w:val="000000" w:themeColor="text1"/>
          <w:spacing w:val="6"/>
          <w:sz w:val="24"/>
          <w:highlight w:val="none"/>
          <w:lang w:val="en-US" w:eastAsia="zh-CN"/>
          <w14:textFill>
            <w14:solidFill>
              <w14:schemeClr w14:val="tx1"/>
            </w14:solidFill>
          </w14:textFill>
        </w:rPr>
        <w:t>3</w:t>
      </w:r>
      <w:r>
        <w:rPr>
          <w:rFonts w:hint="default" w:ascii="仿宋" w:hAnsi="仿宋" w:eastAsia="仿宋" w:cs="仿宋"/>
          <w:b w:val="0"/>
          <w:bCs w:val="0"/>
          <w:color w:val="000000" w:themeColor="text1"/>
          <w:spacing w:val="6"/>
          <w:sz w:val="24"/>
          <w:highlight w:val="none"/>
          <w:lang w:val="en-US" w:eastAsia="zh-CN"/>
          <w14:textFill>
            <w14:solidFill>
              <w14:schemeClr w14:val="tx1"/>
            </w14:solidFill>
          </w14:textFill>
        </w:rPr>
        <w:t>）考核激励与尽职免责</w:t>
      </w:r>
    </w:p>
    <w:p>
      <w:pPr>
        <w:keepNext w:val="0"/>
        <w:keepLines w:val="0"/>
        <w:pageBreakBefore w:val="0"/>
        <w:widowControl/>
        <w:kinsoku/>
        <w:wordWrap/>
        <w:overflowPunct/>
        <w:topLinePunct w:val="0"/>
        <w:autoSpaceDE w:val="0"/>
        <w:autoSpaceDN w:val="0"/>
        <w:bidi w:val="0"/>
        <w:adjustRightInd w:val="0"/>
        <w:snapToGrid w:val="0"/>
        <w:spacing w:before="217" w:beforeLines="50" w:line="240" w:lineRule="auto"/>
        <w:ind w:firstLine="504"/>
        <w:textAlignment w:val="baseline"/>
        <w:rPr>
          <w:rFonts w:hint="default" w:ascii="仿宋" w:hAnsi="仿宋" w:eastAsia="仿宋" w:cs="仿宋"/>
          <w:b w:val="0"/>
          <w:bCs w:val="0"/>
          <w:color w:val="000000" w:themeColor="text1"/>
          <w:spacing w:val="6"/>
          <w:sz w:val="24"/>
          <w:highlight w:val="none"/>
          <w:lang w:val="en-US" w:eastAsia="zh-CN"/>
          <w14:textFill>
            <w14:solidFill>
              <w14:schemeClr w14:val="tx1"/>
            </w14:solidFill>
          </w14:textFill>
        </w:rPr>
      </w:pPr>
      <w:r>
        <w:rPr>
          <w:rFonts w:hint="default" w:ascii="仿宋" w:hAnsi="仿宋" w:eastAsia="仿宋" w:cs="仿宋"/>
          <w:b w:val="0"/>
          <w:bCs w:val="0"/>
          <w:color w:val="000000" w:themeColor="text1"/>
          <w:spacing w:val="6"/>
          <w:sz w:val="24"/>
          <w:highlight w:val="none"/>
          <w:lang w:val="en-US" w:eastAsia="zh-CN"/>
          <w14:textFill>
            <w14:solidFill>
              <w14:schemeClr w14:val="tx1"/>
            </w14:solidFill>
          </w14:textFill>
        </w:rPr>
        <w:t>本行建立绿色金融考核评价机制。制定《绿色金融专项考核办法》，在年度综合考核中单列绿色金融专项指标，建立以定量指标为主的绩效指标体系。出台《绿色信贷尽职免责制度》，将绿色信贷业务纳入尽职免责范围，提高绿色信贷不良容忍度，推动信贷人员加大投放力度，充分发挥一线人员和授信审查审批人员的工作主动性和积极性。</w:t>
      </w:r>
    </w:p>
    <w:p>
      <w:pPr>
        <w:keepNext w:val="0"/>
        <w:keepLines w:val="0"/>
        <w:pageBreakBefore w:val="0"/>
        <w:widowControl/>
        <w:kinsoku/>
        <w:wordWrap/>
        <w:overflowPunct/>
        <w:topLinePunct w:val="0"/>
        <w:autoSpaceDE w:val="0"/>
        <w:autoSpaceDN w:val="0"/>
        <w:bidi w:val="0"/>
        <w:adjustRightInd w:val="0"/>
        <w:snapToGrid w:val="0"/>
        <w:spacing w:before="217" w:beforeLines="50" w:line="240" w:lineRule="auto"/>
        <w:ind w:firstLine="504" w:firstLineChars="200"/>
        <w:textAlignment w:val="baseline"/>
        <w:outlineLvl w:val="3"/>
        <w:rPr>
          <w:rFonts w:hint="default" w:ascii="仿宋" w:hAnsi="仿宋" w:eastAsia="仿宋" w:cs="仿宋"/>
          <w:b w:val="0"/>
          <w:bCs w:val="0"/>
          <w:color w:val="000000" w:themeColor="text1"/>
          <w:spacing w:val="6"/>
          <w:sz w:val="24"/>
          <w:highlight w:val="none"/>
          <w:lang w:val="en-US" w:eastAsia="zh-CN"/>
          <w14:textFill>
            <w14:solidFill>
              <w14:schemeClr w14:val="tx1"/>
            </w14:solidFill>
          </w14:textFill>
        </w:rPr>
      </w:pPr>
      <w:r>
        <w:rPr>
          <w:rFonts w:hint="default" w:ascii="仿宋" w:hAnsi="仿宋" w:eastAsia="仿宋" w:cs="仿宋"/>
          <w:b w:val="0"/>
          <w:bCs w:val="0"/>
          <w:color w:val="000000" w:themeColor="text1"/>
          <w:spacing w:val="6"/>
          <w:sz w:val="24"/>
          <w:highlight w:val="none"/>
          <w:lang w:val="en-US" w:eastAsia="zh-CN"/>
          <w14:textFill>
            <w14:solidFill>
              <w14:schemeClr w14:val="tx1"/>
            </w14:solidFill>
          </w14:textFill>
        </w:rPr>
        <w:t>（</w:t>
      </w:r>
      <w:r>
        <w:rPr>
          <w:rFonts w:hint="eastAsia" w:ascii="仿宋" w:hAnsi="仿宋" w:eastAsia="仿宋" w:cs="仿宋"/>
          <w:b w:val="0"/>
          <w:bCs w:val="0"/>
          <w:color w:val="000000" w:themeColor="text1"/>
          <w:spacing w:val="6"/>
          <w:sz w:val="24"/>
          <w:highlight w:val="none"/>
          <w:lang w:val="en-US" w:eastAsia="zh-CN"/>
          <w14:textFill>
            <w14:solidFill>
              <w14:schemeClr w14:val="tx1"/>
            </w14:solidFill>
          </w14:textFill>
        </w:rPr>
        <w:t>4</w:t>
      </w:r>
      <w:r>
        <w:rPr>
          <w:rFonts w:hint="default" w:ascii="仿宋" w:hAnsi="仿宋" w:eastAsia="仿宋" w:cs="仿宋"/>
          <w:b w:val="0"/>
          <w:bCs w:val="0"/>
          <w:color w:val="000000" w:themeColor="text1"/>
          <w:spacing w:val="6"/>
          <w:sz w:val="24"/>
          <w:highlight w:val="none"/>
          <w:lang w:val="en-US" w:eastAsia="zh-CN"/>
          <w14:textFill>
            <w14:solidFill>
              <w14:schemeClr w14:val="tx1"/>
            </w14:solidFill>
          </w14:textFill>
        </w:rPr>
        <w:t>）外部协同防控</w:t>
      </w:r>
    </w:p>
    <w:p>
      <w:pPr>
        <w:keepNext w:val="0"/>
        <w:keepLines w:val="0"/>
        <w:pageBreakBefore w:val="0"/>
        <w:widowControl/>
        <w:kinsoku/>
        <w:wordWrap/>
        <w:overflowPunct/>
        <w:topLinePunct w:val="0"/>
        <w:autoSpaceDE w:val="0"/>
        <w:autoSpaceDN w:val="0"/>
        <w:bidi w:val="0"/>
        <w:adjustRightInd w:val="0"/>
        <w:snapToGrid w:val="0"/>
        <w:spacing w:before="217" w:beforeLines="50" w:line="240" w:lineRule="auto"/>
        <w:ind w:firstLine="504"/>
        <w:textAlignment w:val="baseline"/>
        <w:rPr>
          <w:rFonts w:hint="default" w:ascii="仿宋" w:hAnsi="仿宋" w:eastAsia="仿宋" w:cs="仿宋"/>
          <w:b w:val="0"/>
          <w:bCs w:val="0"/>
          <w:color w:val="000000" w:themeColor="text1"/>
          <w:spacing w:val="6"/>
          <w:sz w:val="24"/>
          <w:highlight w:val="none"/>
          <w:lang w:val="en-US" w:eastAsia="zh-CN"/>
          <w14:textFill>
            <w14:solidFill>
              <w14:schemeClr w14:val="tx1"/>
            </w14:solidFill>
          </w14:textFill>
        </w:rPr>
      </w:pPr>
      <w:r>
        <w:rPr>
          <w:rFonts w:hint="default" w:ascii="仿宋" w:hAnsi="仿宋" w:eastAsia="仿宋" w:cs="仿宋"/>
          <w:b w:val="0"/>
          <w:bCs w:val="0"/>
          <w:color w:val="000000" w:themeColor="text1"/>
          <w:spacing w:val="6"/>
          <w:sz w:val="24"/>
          <w:highlight w:val="none"/>
          <w:lang w:val="en-US" w:eastAsia="zh-CN"/>
          <w14:textFill>
            <w14:solidFill>
              <w14:schemeClr w14:val="tx1"/>
            </w14:solidFill>
          </w14:textFill>
        </w:rPr>
        <w:t>本行积极加强与地方政府、环保部门、工业园区等部门的战略合作与横向联动。与扬州市生态环境局建立信息共享平台，实现环境信息的双向互通；与多家绿色产业园区达成战略合作，参与园区的绿色金融规划制定。</w:t>
      </w:r>
    </w:p>
    <w:p>
      <w:pPr>
        <w:keepNext w:val="0"/>
        <w:keepLines w:val="0"/>
        <w:pageBreakBefore w:val="0"/>
        <w:widowControl/>
        <w:kinsoku/>
        <w:wordWrap/>
        <w:overflowPunct/>
        <w:topLinePunct w:val="0"/>
        <w:autoSpaceDE w:val="0"/>
        <w:autoSpaceDN w:val="0"/>
        <w:bidi w:val="0"/>
        <w:adjustRightInd w:val="0"/>
        <w:snapToGrid w:val="0"/>
        <w:spacing w:before="217" w:beforeLines="50" w:line="240" w:lineRule="auto"/>
        <w:ind w:firstLine="504"/>
        <w:textAlignment w:val="baseline"/>
        <w:rPr>
          <w:rFonts w:hint="eastAsia" w:ascii="仿宋" w:hAnsi="仿宋" w:eastAsia="仿宋" w:cs="仿宋"/>
          <w:b w:val="0"/>
          <w:bCs/>
          <w:snapToGrid w:val="0"/>
          <w:color w:val="000000" w:themeColor="text1"/>
          <w:spacing w:val="6"/>
          <w:kern w:val="0"/>
          <w:sz w:val="24"/>
          <w:szCs w:val="24"/>
          <w:lang w:val="en-US" w:eastAsia="zh-CN"/>
          <w14:textFill>
            <w14:solidFill>
              <w14:schemeClr w14:val="tx1"/>
            </w14:solidFill>
          </w14:textFill>
        </w:rPr>
      </w:pPr>
      <w:r>
        <w:rPr>
          <w:rFonts w:hint="default" w:ascii="仿宋" w:hAnsi="仿宋" w:eastAsia="仿宋" w:cs="仿宋"/>
          <w:b w:val="0"/>
          <w:bCs w:val="0"/>
          <w:color w:val="000000" w:themeColor="text1"/>
          <w:spacing w:val="6"/>
          <w:sz w:val="24"/>
          <w:highlight w:val="none"/>
          <w:lang w:val="en-US" w:eastAsia="zh-CN"/>
          <w14:textFill>
            <w14:solidFill>
              <w14:schemeClr w14:val="tx1"/>
            </w14:solidFill>
          </w14:textFill>
        </w:rPr>
        <w:t>通过上述系统性的监控流程与防控措施，本行能够有效识别、量化和应对环境与气候相关风险，持续提升环境风险管理的专业化、规范化和前瞻化水平，为绿色金融业务的高质量发展提供坚实保障</w:t>
      </w:r>
      <w:r>
        <w:rPr>
          <w:rFonts w:hint="eastAsia" w:ascii="仿宋" w:hAnsi="仿宋" w:eastAsia="仿宋" w:cs="仿宋"/>
          <w:b w:val="0"/>
          <w:bCs w:val="0"/>
          <w:color w:val="000000" w:themeColor="text1"/>
          <w:spacing w:val="6"/>
          <w:sz w:val="24"/>
          <w:highlight w:val="none"/>
          <w:lang w:val="en-US" w:eastAsia="zh-CN"/>
          <w14:textFill>
            <w14:solidFill>
              <w14:schemeClr w14:val="tx1"/>
            </w14:solidFill>
          </w14:textFill>
        </w:rPr>
        <w:t>。</w:t>
      </w:r>
    </w:p>
    <w:p>
      <w:pPr>
        <w:pStyle w:val="2"/>
        <w:keepNext w:val="0"/>
        <w:keepLines w:val="0"/>
        <w:pageBreakBefore w:val="0"/>
        <w:widowControl w:val="0"/>
        <w:kinsoku/>
        <w:wordWrap/>
        <w:overflowPunct/>
        <w:topLinePunct w:val="0"/>
        <w:autoSpaceDE/>
        <w:autoSpaceDN/>
        <w:bidi w:val="0"/>
        <w:adjustRightInd/>
        <w:snapToGrid/>
        <w:spacing w:after="0" w:line="240" w:lineRule="auto"/>
        <w:textAlignment w:val="auto"/>
        <w:rPr>
          <w:rFonts w:hint="eastAsia" w:ascii="仿宋" w:hAnsi="仿宋" w:eastAsia="仿宋" w:cs="仿宋"/>
          <w:b w:val="0"/>
          <w:bCs/>
          <w:snapToGrid w:val="0"/>
          <w:color w:val="auto"/>
          <w:spacing w:val="6"/>
          <w:kern w:val="0"/>
          <w:sz w:val="18"/>
          <w:szCs w:val="18"/>
          <w:lang w:val="en-US" w:eastAsia="zh-CN" w:bidi="ar-SA"/>
        </w:rPr>
      </w:pPr>
      <w:bookmarkStart w:id="21" w:name="_Toc10055"/>
    </w:p>
    <w:p>
      <w:pPr>
        <w:keepNext w:val="0"/>
        <w:keepLines w:val="0"/>
        <w:pageBreakBefore w:val="0"/>
        <w:widowControl/>
        <w:numPr>
          <w:ilvl w:val="0"/>
          <w:numId w:val="0"/>
        </w:numPr>
        <w:kinsoku/>
        <w:wordWrap/>
        <w:overflowPunct/>
        <w:topLinePunct w:val="0"/>
        <w:autoSpaceDE w:val="0"/>
        <w:autoSpaceDN w:val="0"/>
        <w:bidi w:val="0"/>
        <w:adjustRightInd w:val="0"/>
        <w:snapToGrid w:val="0"/>
        <w:spacing w:before="149" w:beforeLines="50" w:line="240" w:lineRule="auto"/>
        <w:ind w:left="0" w:leftChars="0" w:firstLine="0" w:firstLineChars="0"/>
        <w:textAlignment w:val="baseline"/>
        <w:outlineLvl w:val="0"/>
        <w:rPr>
          <w:rFonts w:hint="eastAsia" w:ascii="微软雅黑" w:hAnsi="微软雅黑" w:eastAsia="微软雅黑" w:cs="微软雅黑"/>
          <w:b w:val="0"/>
          <w:bCs/>
          <w:color w:val="000000" w:themeColor="text1"/>
          <w:kern w:val="2"/>
          <w:sz w:val="28"/>
          <w:szCs w:val="28"/>
          <w:lang w:val="en-US" w:eastAsia="zh-CN" w:bidi="ar-SA"/>
          <w14:textFill>
            <w14:solidFill>
              <w14:schemeClr w14:val="tx1"/>
            </w14:solidFill>
          </w14:textFill>
        </w:rPr>
      </w:pPr>
      <w:r>
        <w:rPr>
          <w:rFonts w:hint="eastAsia" w:ascii="微软雅黑" w:hAnsi="微软雅黑" w:eastAsia="微软雅黑" w:cs="微软雅黑"/>
          <w:b w:val="0"/>
          <w:bCs/>
          <w:color w:val="000000" w:themeColor="text1"/>
          <w:kern w:val="2"/>
          <w:sz w:val="28"/>
          <w:szCs w:val="28"/>
          <w:lang w:val="en-US" w:eastAsia="zh-CN" w:bidi="ar-SA"/>
          <w14:textFill>
            <w14:solidFill>
              <w14:schemeClr w14:val="tx1"/>
            </w14:solidFill>
          </w14:textFill>
        </w:rPr>
        <w:t>5.3 识别和评估环境机遇</w:t>
      </w:r>
      <w:bookmarkEnd w:id="21"/>
    </w:p>
    <w:p>
      <w:pPr>
        <w:keepNext w:val="0"/>
        <w:keepLines w:val="0"/>
        <w:pageBreakBefore w:val="0"/>
        <w:widowControl/>
        <w:kinsoku/>
        <w:wordWrap/>
        <w:overflowPunct/>
        <w:topLinePunct w:val="0"/>
        <w:autoSpaceDE w:val="0"/>
        <w:autoSpaceDN w:val="0"/>
        <w:bidi w:val="0"/>
        <w:adjustRightInd w:val="0"/>
        <w:snapToGrid w:val="0"/>
        <w:spacing w:before="149" w:beforeLines="50" w:line="240" w:lineRule="auto"/>
        <w:ind w:firstLine="480" w:firstLineChars="200"/>
        <w:textAlignment w:val="baseline"/>
        <w:outlineLvl w:val="2"/>
        <w:rPr>
          <w:rFonts w:hint="default" w:ascii="微软雅黑" w:hAnsi="微软雅黑" w:eastAsia="微软雅黑" w:cs="微软雅黑"/>
          <w:b w:val="0"/>
          <w:bCs/>
          <w:color w:val="000000" w:themeColor="text1"/>
          <w:kern w:val="2"/>
          <w:sz w:val="24"/>
          <w:szCs w:val="24"/>
          <w:lang w:val="en-US" w:eastAsia="zh-CN" w:bidi="ar-SA"/>
          <w14:textFill>
            <w14:solidFill>
              <w14:schemeClr w14:val="tx1"/>
            </w14:solidFill>
          </w14:textFill>
        </w:rPr>
      </w:pPr>
      <w:r>
        <w:rPr>
          <w:rFonts w:hint="eastAsia" w:ascii="微软雅黑" w:hAnsi="微软雅黑" w:eastAsia="微软雅黑" w:cs="微软雅黑"/>
          <w:b w:val="0"/>
          <w:bCs/>
          <w:color w:val="000000" w:themeColor="text1"/>
          <w:kern w:val="2"/>
          <w:sz w:val="24"/>
          <w:szCs w:val="24"/>
          <w:lang w:val="en-US" w:eastAsia="zh-CN" w:bidi="ar-SA"/>
          <w14:textFill>
            <w14:solidFill>
              <w14:schemeClr w14:val="tx1"/>
            </w14:solidFill>
          </w14:textFill>
        </w:rPr>
        <w:t>5.3.1</w:t>
      </w:r>
      <w:r>
        <w:rPr>
          <w:rFonts w:hint="default" w:ascii="微软雅黑" w:hAnsi="微软雅黑" w:eastAsia="微软雅黑" w:cs="微软雅黑"/>
          <w:b w:val="0"/>
          <w:bCs/>
          <w:color w:val="000000" w:themeColor="text1"/>
          <w:kern w:val="2"/>
          <w:sz w:val="24"/>
          <w:szCs w:val="24"/>
          <w:lang w:val="en-US" w:eastAsia="zh-CN" w:bidi="ar-SA"/>
          <w14:textFill>
            <w14:solidFill>
              <w14:schemeClr w14:val="tx1"/>
            </w14:solidFill>
          </w14:textFill>
        </w:rPr>
        <w:t>短期机遇（1-3年）</w:t>
      </w:r>
    </w:p>
    <w:p>
      <w:pPr>
        <w:keepNext w:val="0"/>
        <w:keepLines w:val="0"/>
        <w:pageBreakBefore w:val="0"/>
        <w:widowControl/>
        <w:kinsoku/>
        <w:wordWrap/>
        <w:overflowPunct/>
        <w:topLinePunct w:val="0"/>
        <w:autoSpaceDE w:val="0"/>
        <w:autoSpaceDN w:val="0"/>
        <w:bidi w:val="0"/>
        <w:adjustRightInd w:val="0"/>
        <w:snapToGrid w:val="0"/>
        <w:spacing w:before="217" w:beforeLines="50" w:line="240" w:lineRule="auto"/>
        <w:ind w:firstLine="504" w:firstLineChars="200"/>
        <w:textAlignment w:val="baseline"/>
        <w:outlineLvl w:val="3"/>
        <w:rPr>
          <w:rFonts w:hint="default" w:ascii="仿宋" w:hAnsi="仿宋" w:eastAsia="仿宋" w:cs="仿宋"/>
          <w:b w:val="0"/>
          <w:bCs w:val="0"/>
          <w:color w:val="000000" w:themeColor="text1"/>
          <w:spacing w:val="6"/>
          <w:sz w:val="24"/>
          <w:highlight w:val="none"/>
          <w:lang w:val="en-US" w:eastAsia="zh-CN"/>
          <w14:textFill>
            <w14:solidFill>
              <w14:schemeClr w14:val="tx1"/>
            </w14:solidFill>
          </w14:textFill>
        </w:rPr>
      </w:pPr>
      <w:r>
        <w:rPr>
          <w:rFonts w:hint="default" w:ascii="仿宋" w:hAnsi="仿宋" w:eastAsia="仿宋" w:cs="仿宋"/>
          <w:b w:val="0"/>
          <w:bCs w:val="0"/>
          <w:color w:val="000000" w:themeColor="text1"/>
          <w:spacing w:val="6"/>
          <w:sz w:val="24"/>
          <w:highlight w:val="none"/>
          <w:lang w:val="en-US" w:eastAsia="zh-CN"/>
          <w14:textFill>
            <w14:solidFill>
              <w14:schemeClr w14:val="tx1"/>
            </w14:solidFill>
          </w14:textFill>
        </w:rPr>
        <w:t>（</w:t>
      </w:r>
      <w:r>
        <w:rPr>
          <w:rFonts w:hint="eastAsia" w:ascii="仿宋" w:hAnsi="仿宋" w:eastAsia="仿宋" w:cs="仿宋"/>
          <w:b w:val="0"/>
          <w:bCs w:val="0"/>
          <w:color w:val="000000" w:themeColor="text1"/>
          <w:spacing w:val="6"/>
          <w:sz w:val="24"/>
          <w:highlight w:val="none"/>
          <w:lang w:val="en-US" w:eastAsia="zh-CN"/>
          <w14:textFill>
            <w14:solidFill>
              <w14:schemeClr w14:val="tx1"/>
            </w14:solidFill>
          </w14:textFill>
        </w:rPr>
        <w:t>1</w:t>
      </w:r>
      <w:r>
        <w:rPr>
          <w:rFonts w:hint="default" w:ascii="仿宋" w:hAnsi="仿宋" w:eastAsia="仿宋" w:cs="仿宋"/>
          <w:b w:val="0"/>
          <w:bCs w:val="0"/>
          <w:color w:val="000000" w:themeColor="text1"/>
          <w:spacing w:val="6"/>
          <w:sz w:val="24"/>
          <w:highlight w:val="none"/>
          <w:lang w:val="en-US" w:eastAsia="zh-CN"/>
          <w14:textFill>
            <w14:solidFill>
              <w14:schemeClr w14:val="tx1"/>
            </w14:solidFill>
          </w14:textFill>
        </w:rPr>
        <w:t>）绿色金融政策红利窗口期</w:t>
      </w:r>
    </w:p>
    <w:p>
      <w:pPr>
        <w:keepNext w:val="0"/>
        <w:keepLines w:val="0"/>
        <w:pageBreakBefore w:val="0"/>
        <w:widowControl/>
        <w:kinsoku/>
        <w:wordWrap/>
        <w:overflowPunct/>
        <w:topLinePunct w:val="0"/>
        <w:autoSpaceDE w:val="0"/>
        <w:autoSpaceDN w:val="0"/>
        <w:bidi w:val="0"/>
        <w:adjustRightInd w:val="0"/>
        <w:snapToGrid w:val="0"/>
        <w:spacing w:before="217" w:beforeLines="50" w:line="240" w:lineRule="auto"/>
        <w:ind w:firstLine="504"/>
        <w:textAlignment w:val="baseline"/>
        <w:rPr>
          <w:rFonts w:hint="default" w:ascii="仿宋" w:hAnsi="仿宋" w:eastAsia="仿宋" w:cs="仿宋"/>
          <w:b w:val="0"/>
          <w:bCs w:val="0"/>
          <w:color w:val="000000" w:themeColor="text1"/>
          <w:spacing w:val="6"/>
          <w:sz w:val="24"/>
          <w:highlight w:val="none"/>
          <w:lang w:val="en-US" w:eastAsia="zh-CN"/>
          <w14:textFill>
            <w14:solidFill>
              <w14:schemeClr w14:val="tx1"/>
            </w14:solidFill>
          </w14:textFill>
        </w:rPr>
      </w:pPr>
      <w:r>
        <w:rPr>
          <w:rFonts w:hint="default" w:ascii="仿宋" w:hAnsi="仿宋" w:eastAsia="仿宋" w:cs="仿宋"/>
          <w:b w:val="0"/>
          <w:bCs w:val="0"/>
          <w:color w:val="000000" w:themeColor="text1"/>
          <w:spacing w:val="6"/>
          <w:sz w:val="24"/>
          <w:highlight w:val="none"/>
          <w:lang w:val="en-US" w:eastAsia="zh-CN"/>
          <w14:textFill>
            <w14:solidFill>
              <w14:schemeClr w14:val="tx1"/>
            </w14:solidFill>
          </w14:textFill>
        </w:rPr>
        <w:t>当前国家及地方绿色金融政策密集出台，为本行提供了明确的政策机遇。人民银行江苏省分行构建的“1+N+N”转型金融支持体系、扬州市绿色金融专项实施意见及绿色金融线上服务平台，均为本行拓展绿色信贷业务提供了政策工具和平台支撑。短期内，本行可充分利用“苏碳融”等政银产品，借助再贷款资金支持扩大绿色信贷投放。</w:t>
      </w:r>
    </w:p>
    <w:p>
      <w:pPr>
        <w:keepNext w:val="0"/>
        <w:keepLines w:val="0"/>
        <w:pageBreakBefore w:val="0"/>
        <w:widowControl/>
        <w:kinsoku/>
        <w:wordWrap/>
        <w:overflowPunct/>
        <w:topLinePunct w:val="0"/>
        <w:autoSpaceDE w:val="0"/>
        <w:autoSpaceDN w:val="0"/>
        <w:bidi w:val="0"/>
        <w:adjustRightInd w:val="0"/>
        <w:snapToGrid w:val="0"/>
        <w:spacing w:before="217" w:beforeLines="50" w:line="240" w:lineRule="auto"/>
        <w:ind w:firstLine="504" w:firstLineChars="200"/>
        <w:textAlignment w:val="baseline"/>
        <w:outlineLvl w:val="3"/>
        <w:rPr>
          <w:rFonts w:hint="default" w:ascii="仿宋" w:hAnsi="仿宋" w:eastAsia="仿宋" w:cs="仿宋"/>
          <w:b w:val="0"/>
          <w:bCs w:val="0"/>
          <w:color w:val="000000" w:themeColor="text1"/>
          <w:spacing w:val="6"/>
          <w:sz w:val="24"/>
          <w:highlight w:val="none"/>
          <w:lang w:val="en-US" w:eastAsia="zh-CN"/>
          <w14:textFill>
            <w14:solidFill>
              <w14:schemeClr w14:val="tx1"/>
            </w14:solidFill>
          </w14:textFill>
        </w:rPr>
      </w:pPr>
      <w:r>
        <w:rPr>
          <w:rFonts w:hint="default" w:ascii="仿宋" w:hAnsi="仿宋" w:eastAsia="仿宋" w:cs="仿宋"/>
          <w:b w:val="0"/>
          <w:bCs w:val="0"/>
          <w:color w:val="000000" w:themeColor="text1"/>
          <w:spacing w:val="6"/>
          <w:sz w:val="24"/>
          <w:highlight w:val="none"/>
          <w:lang w:val="en-US" w:eastAsia="zh-CN"/>
          <w14:textFill>
            <w14:solidFill>
              <w14:schemeClr w14:val="tx1"/>
            </w14:solidFill>
          </w14:textFill>
        </w:rPr>
        <w:t>（</w:t>
      </w:r>
      <w:r>
        <w:rPr>
          <w:rFonts w:hint="eastAsia" w:ascii="仿宋" w:hAnsi="仿宋" w:eastAsia="仿宋" w:cs="仿宋"/>
          <w:b w:val="0"/>
          <w:bCs w:val="0"/>
          <w:color w:val="000000" w:themeColor="text1"/>
          <w:spacing w:val="6"/>
          <w:sz w:val="24"/>
          <w:highlight w:val="none"/>
          <w:lang w:val="en-US" w:eastAsia="zh-CN"/>
          <w14:textFill>
            <w14:solidFill>
              <w14:schemeClr w14:val="tx1"/>
            </w14:solidFill>
          </w14:textFill>
        </w:rPr>
        <w:t>2</w:t>
      </w:r>
      <w:r>
        <w:rPr>
          <w:rFonts w:hint="default" w:ascii="仿宋" w:hAnsi="仿宋" w:eastAsia="仿宋" w:cs="仿宋"/>
          <w:b w:val="0"/>
          <w:bCs w:val="0"/>
          <w:color w:val="000000" w:themeColor="text1"/>
          <w:spacing w:val="6"/>
          <w:sz w:val="24"/>
          <w:highlight w:val="none"/>
          <w:lang w:val="en-US" w:eastAsia="zh-CN"/>
          <w14:textFill>
            <w14:solidFill>
              <w14:schemeClr w14:val="tx1"/>
            </w14:solidFill>
          </w14:textFill>
        </w:rPr>
        <w:t>）绿色信贷市场快速扩张</w:t>
      </w:r>
    </w:p>
    <w:p>
      <w:pPr>
        <w:keepNext w:val="0"/>
        <w:keepLines w:val="0"/>
        <w:pageBreakBefore w:val="0"/>
        <w:widowControl/>
        <w:kinsoku/>
        <w:wordWrap/>
        <w:overflowPunct/>
        <w:topLinePunct w:val="0"/>
        <w:autoSpaceDE w:val="0"/>
        <w:autoSpaceDN w:val="0"/>
        <w:bidi w:val="0"/>
        <w:adjustRightInd w:val="0"/>
        <w:snapToGrid w:val="0"/>
        <w:spacing w:before="217" w:beforeLines="50" w:line="240" w:lineRule="auto"/>
        <w:ind w:firstLine="504"/>
        <w:textAlignment w:val="baseline"/>
        <w:rPr>
          <w:rFonts w:hint="default" w:ascii="仿宋" w:hAnsi="仿宋" w:eastAsia="仿宋" w:cs="仿宋"/>
          <w:b w:val="0"/>
          <w:bCs w:val="0"/>
          <w:color w:val="000000" w:themeColor="text1"/>
          <w:spacing w:val="6"/>
          <w:sz w:val="24"/>
          <w:highlight w:val="none"/>
          <w:lang w:val="en-US" w:eastAsia="zh-CN"/>
          <w14:textFill>
            <w14:solidFill>
              <w14:schemeClr w14:val="tx1"/>
            </w14:solidFill>
          </w14:textFill>
        </w:rPr>
      </w:pPr>
      <w:r>
        <w:rPr>
          <w:rFonts w:hint="default" w:ascii="仿宋" w:hAnsi="仿宋" w:eastAsia="仿宋" w:cs="仿宋"/>
          <w:b w:val="0"/>
          <w:bCs w:val="0"/>
          <w:color w:val="000000" w:themeColor="text1"/>
          <w:spacing w:val="6"/>
          <w:sz w:val="24"/>
          <w:highlight w:val="none"/>
          <w:lang w:val="en-US" w:eastAsia="zh-CN"/>
          <w14:textFill>
            <w14:solidFill>
              <w14:schemeClr w14:val="tx1"/>
            </w14:solidFill>
          </w14:textFill>
        </w:rPr>
        <w:t>随着《绿色金融支持项目目录（2025年版）》将支持领域从生产环节拓展至贸易、消费环节，首次实现“生产—流通—消费”全链条覆盖，本行在绿色农业、绿色制造、绿色水资源治理、绿色生态城市建设四大重点方向上的信贷需求将持续增长。短期内，本行可通过“光伏创收贷”“环保贷”“排污权抵押贷”等特色产品快速抢占市场。</w:t>
      </w:r>
    </w:p>
    <w:p>
      <w:pPr>
        <w:keepNext w:val="0"/>
        <w:keepLines w:val="0"/>
        <w:pageBreakBefore w:val="0"/>
        <w:widowControl/>
        <w:kinsoku/>
        <w:wordWrap/>
        <w:overflowPunct/>
        <w:topLinePunct w:val="0"/>
        <w:autoSpaceDE w:val="0"/>
        <w:autoSpaceDN w:val="0"/>
        <w:bidi w:val="0"/>
        <w:adjustRightInd w:val="0"/>
        <w:snapToGrid w:val="0"/>
        <w:spacing w:before="217" w:beforeLines="50" w:line="240" w:lineRule="auto"/>
        <w:ind w:firstLine="504" w:firstLineChars="200"/>
        <w:textAlignment w:val="baseline"/>
        <w:outlineLvl w:val="3"/>
        <w:rPr>
          <w:rFonts w:hint="default" w:ascii="仿宋" w:hAnsi="仿宋" w:eastAsia="仿宋" w:cs="仿宋"/>
          <w:b w:val="0"/>
          <w:bCs w:val="0"/>
          <w:color w:val="000000" w:themeColor="text1"/>
          <w:spacing w:val="6"/>
          <w:sz w:val="24"/>
          <w:highlight w:val="none"/>
          <w:lang w:val="en-US" w:eastAsia="zh-CN"/>
          <w14:textFill>
            <w14:solidFill>
              <w14:schemeClr w14:val="tx1"/>
            </w14:solidFill>
          </w14:textFill>
        </w:rPr>
      </w:pPr>
      <w:r>
        <w:rPr>
          <w:rFonts w:hint="default" w:ascii="仿宋" w:hAnsi="仿宋" w:eastAsia="仿宋" w:cs="仿宋"/>
          <w:b w:val="0"/>
          <w:bCs w:val="0"/>
          <w:color w:val="000000" w:themeColor="text1"/>
          <w:spacing w:val="6"/>
          <w:sz w:val="24"/>
          <w:highlight w:val="none"/>
          <w:lang w:val="en-US" w:eastAsia="zh-CN"/>
          <w14:textFill>
            <w14:solidFill>
              <w14:schemeClr w14:val="tx1"/>
            </w14:solidFill>
          </w14:textFill>
        </w:rPr>
        <w:t>（</w:t>
      </w:r>
      <w:r>
        <w:rPr>
          <w:rFonts w:hint="eastAsia" w:ascii="仿宋" w:hAnsi="仿宋" w:eastAsia="仿宋" w:cs="仿宋"/>
          <w:b w:val="0"/>
          <w:bCs w:val="0"/>
          <w:color w:val="000000" w:themeColor="text1"/>
          <w:spacing w:val="6"/>
          <w:sz w:val="24"/>
          <w:highlight w:val="none"/>
          <w:lang w:val="en-US" w:eastAsia="zh-CN"/>
          <w14:textFill>
            <w14:solidFill>
              <w14:schemeClr w14:val="tx1"/>
            </w14:solidFill>
          </w14:textFill>
        </w:rPr>
        <w:t>3</w:t>
      </w:r>
      <w:r>
        <w:rPr>
          <w:rFonts w:hint="default" w:ascii="仿宋" w:hAnsi="仿宋" w:eastAsia="仿宋" w:cs="仿宋"/>
          <w:b w:val="0"/>
          <w:bCs w:val="0"/>
          <w:color w:val="000000" w:themeColor="text1"/>
          <w:spacing w:val="6"/>
          <w:sz w:val="24"/>
          <w:highlight w:val="none"/>
          <w:lang w:val="en-US" w:eastAsia="zh-CN"/>
          <w14:textFill>
            <w14:solidFill>
              <w14:schemeClr w14:val="tx1"/>
            </w14:solidFill>
          </w14:textFill>
        </w:rPr>
        <w:t>）绿色运营降本增效</w:t>
      </w:r>
    </w:p>
    <w:p>
      <w:pPr>
        <w:keepNext w:val="0"/>
        <w:keepLines w:val="0"/>
        <w:pageBreakBefore w:val="0"/>
        <w:widowControl/>
        <w:kinsoku/>
        <w:wordWrap/>
        <w:overflowPunct/>
        <w:topLinePunct w:val="0"/>
        <w:autoSpaceDE w:val="0"/>
        <w:autoSpaceDN w:val="0"/>
        <w:bidi w:val="0"/>
        <w:adjustRightInd w:val="0"/>
        <w:snapToGrid w:val="0"/>
        <w:spacing w:before="217" w:beforeLines="50" w:line="240" w:lineRule="auto"/>
        <w:ind w:firstLine="504"/>
        <w:textAlignment w:val="baseline"/>
        <w:rPr>
          <w:rFonts w:hint="default" w:ascii="仿宋" w:hAnsi="仿宋" w:eastAsia="仿宋" w:cs="仿宋"/>
          <w:b w:val="0"/>
          <w:bCs w:val="0"/>
          <w:color w:val="000000" w:themeColor="text1"/>
          <w:spacing w:val="6"/>
          <w:sz w:val="24"/>
          <w:highlight w:val="none"/>
          <w:lang w:val="en-US" w:eastAsia="zh-CN"/>
          <w14:textFill>
            <w14:solidFill>
              <w14:schemeClr w14:val="tx1"/>
            </w14:solidFill>
          </w14:textFill>
        </w:rPr>
      </w:pPr>
      <w:r>
        <w:rPr>
          <w:rFonts w:hint="default" w:ascii="仿宋" w:hAnsi="仿宋" w:eastAsia="仿宋" w:cs="仿宋"/>
          <w:b w:val="0"/>
          <w:bCs w:val="0"/>
          <w:color w:val="000000" w:themeColor="text1"/>
          <w:spacing w:val="6"/>
          <w:sz w:val="24"/>
          <w:highlight w:val="none"/>
          <w:lang w:val="en-US" w:eastAsia="zh-CN"/>
          <w14:textFill>
            <w14:solidFill>
              <w14:schemeClr w14:val="tx1"/>
            </w14:solidFill>
          </w14:textFill>
        </w:rPr>
        <w:t>通过推进数字化运营，对管理全流程实施线上化、自动化、数据化改造，短期内即可显著降低运营资源消耗和能源成本。</w:t>
      </w:r>
    </w:p>
    <w:p>
      <w:pPr>
        <w:keepNext w:val="0"/>
        <w:keepLines w:val="0"/>
        <w:pageBreakBefore w:val="0"/>
        <w:widowControl/>
        <w:kinsoku/>
        <w:wordWrap/>
        <w:overflowPunct/>
        <w:topLinePunct w:val="0"/>
        <w:autoSpaceDE w:val="0"/>
        <w:autoSpaceDN w:val="0"/>
        <w:bidi w:val="0"/>
        <w:adjustRightInd w:val="0"/>
        <w:snapToGrid w:val="0"/>
        <w:spacing w:before="149" w:beforeLines="50" w:line="240" w:lineRule="auto"/>
        <w:ind w:firstLine="480" w:firstLineChars="200"/>
        <w:textAlignment w:val="baseline"/>
        <w:outlineLvl w:val="2"/>
        <w:rPr>
          <w:rFonts w:hint="default" w:ascii="微软雅黑" w:hAnsi="微软雅黑" w:eastAsia="微软雅黑" w:cs="微软雅黑"/>
          <w:b w:val="0"/>
          <w:bCs/>
          <w:color w:val="000000" w:themeColor="text1"/>
          <w:kern w:val="2"/>
          <w:sz w:val="24"/>
          <w:szCs w:val="24"/>
          <w:lang w:val="en-US" w:eastAsia="zh-CN" w:bidi="ar-SA"/>
          <w14:textFill>
            <w14:solidFill>
              <w14:schemeClr w14:val="tx1"/>
            </w14:solidFill>
          </w14:textFill>
        </w:rPr>
      </w:pPr>
      <w:r>
        <w:rPr>
          <w:rFonts w:hint="eastAsia" w:ascii="微软雅黑" w:hAnsi="微软雅黑" w:eastAsia="微软雅黑" w:cs="微软雅黑"/>
          <w:b w:val="0"/>
          <w:bCs/>
          <w:color w:val="000000" w:themeColor="text1"/>
          <w:kern w:val="2"/>
          <w:sz w:val="24"/>
          <w:szCs w:val="24"/>
          <w:lang w:val="en-US" w:eastAsia="zh-CN" w:bidi="ar-SA"/>
          <w14:textFill>
            <w14:solidFill>
              <w14:schemeClr w14:val="tx1"/>
            </w14:solidFill>
          </w14:textFill>
        </w:rPr>
        <w:t>5.3.2</w:t>
      </w:r>
      <w:r>
        <w:rPr>
          <w:rFonts w:hint="default" w:ascii="微软雅黑" w:hAnsi="微软雅黑" w:eastAsia="微软雅黑" w:cs="微软雅黑"/>
          <w:b w:val="0"/>
          <w:bCs/>
          <w:color w:val="000000" w:themeColor="text1"/>
          <w:kern w:val="2"/>
          <w:sz w:val="24"/>
          <w:szCs w:val="24"/>
          <w:lang w:val="en-US" w:eastAsia="zh-CN" w:bidi="ar-SA"/>
          <w14:textFill>
            <w14:solidFill>
              <w14:schemeClr w14:val="tx1"/>
            </w14:solidFill>
          </w14:textFill>
        </w:rPr>
        <w:t>中期机遇（3-10年）</w:t>
      </w:r>
    </w:p>
    <w:p>
      <w:pPr>
        <w:keepNext w:val="0"/>
        <w:keepLines w:val="0"/>
        <w:pageBreakBefore w:val="0"/>
        <w:widowControl/>
        <w:kinsoku/>
        <w:wordWrap/>
        <w:overflowPunct/>
        <w:topLinePunct w:val="0"/>
        <w:autoSpaceDE w:val="0"/>
        <w:autoSpaceDN w:val="0"/>
        <w:bidi w:val="0"/>
        <w:adjustRightInd w:val="0"/>
        <w:snapToGrid w:val="0"/>
        <w:spacing w:before="217" w:beforeLines="50" w:line="240" w:lineRule="auto"/>
        <w:ind w:firstLine="504" w:firstLineChars="200"/>
        <w:textAlignment w:val="baseline"/>
        <w:outlineLvl w:val="3"/>
        <w:rPr>
          <w:rFonts w:hint="default" w:ascii="仿宋" w:hAnsi="仿宋" w:eastAsia="仿宋" w:cs="仿宋"/>
          <w:b w:val="0"/>
          <w:bCs w:val="0"/>
          <w:color w:val="000000" w:themeColor="text1"/>
          <w:spacing w:val="6"/>
          <w:sz w:val="24"/>
          <w:highlight w:val="none"/>
          <w:lang w:val="en-US" w:eastAsia="zh-CN"/>
          <w14:textFill>
            <w14:solidFill>
              <w14:schemeClr w14:val="tx1"/>
            </w14:solidFill>
          </w14:textFill>
        </w:rPr>
      </w:pPr>
      <w:r>
        <w:rPr>
          <w:rFonts w:hint="default" w:ascii="仿宋" w:hAnsi="仿宋" w:eastAsia="仿宋" w:cs="仿宋"/>
          <w:b w:val="0"/>
          <w:bCs w:val="0"/>
          <w:color w:val="000000" w:themeColor="text1"/>
          <w:spacing w:val="6"/>
          <w:sz w:val="24"/>
          <w:highlight w:val="none"/>
          <w:lang w:val="en-US" w:eastAsia="zh-CN"/>
          <w14:textFill>
            <w14:solidFill>
              <w14:schemeClr w14:val="tx1"/>
            </w14:solidFill>
          </w14:textFill>
        </w:rPr>
        <w:t>（</w:t>
      </w:r>
      <w:r>
        <w:rPr>
          <w:rFonts w:hint="eastAsia" w:ascii="仿宋" w:hAnsi="仿宋" w:eastAsia="仿宋" w:cs="仿宋"/>
          <w:b w:val="0"/>
          <w:bCs w:val="0"/>
          <w:color w:val="000000" w:themeColor="text1"/>
          <w:spacing w:val="6"/>
          <w:sz w:val="24"/>
          <w:highlight w:val="none"/>
          <w:lang w:val="en-US" w:eastAsia="zh-CN"/>
          <w14:textFill>
            <w14:solidFill>
              <w14:schemeClr w14:val="tx1"/>
            </w14:solidFill>
          </w14:textFill>
        </w:rPr>
        <w:t>1</w:t>
      </w:r>
      <w:r>
        <w:rPr>
          <w:rFonts w:hint="default" w:ascii="仿宋" w:hAnsi="仿宋" w:eastAsia="仿宋" w:cs="仿宋"/>
          <w:b w:val="0"/>
          <w:bCs w:val="0"/>
          <w:color w:val="000000" w:themeColor="text1"/>
          <w:spacing w:val="6"/>
          <w:sz w:val="24"/>
          <w:highlight w:val="none"/>
          <w:lang w:val="en-US" w:eastAsia="zh-CN"/>
          <w14:textFill>
            <w14:solidFill>
              <w14:schemeClr w14:val="tx1"/>
            </w14:solidFill>
          </w14:textFill>
        </w:rPr>
        <w:t>）转型金融业务拓展</w:t>
      </w:r>
    </w:p>
    <w:p>
      <w:pPr>
        <w:keepNext w:val="0"/>
        <w:keepLines w:val="0"/>
        <w:pageBreakBefore w:val="0"/>
        <w:widowControl/>
        <w:kinsoku/>
        <w:wordWrap/>
        <w:overflowPunct/>
        <w:topLinePunct w:val="0"/>
        <w:autoSpaceDE w:val="0"/>
        <w:autoSpaceDN w:val="0"/>
        <w:bidi w:val="0"/>
        <w:adjustRightInd w:val="0"/>
        <w:snapToGrid w:val="0"/>
        <w:spacing w:before="217" w:beforeLines="50" w:line="240" w:lineRule="auto"/>
        <w:ind w:firstLine="504"/>
        <w:textAlignment w:val="baseline"/>
        <w:rPr>
          <w:rFonts w:hint="default" w:ascii="仿宋" w:hAnsi="仿宋" w:eastAsia="仿宋" w:cs="仿宋"/>
          <w:b w:val="0"/>
          <w:bCs w:val="0"/>
          <w:color w:val="000000" w:themeColor="text1"/>
          <w:spacing w:val="6"/>
          <w:sz w:val="24"/>
          <w:highlight w:val="none"/>
          <w:lang w:val="en-US" w:eastAsia="zh-CN"/>
          <w14:textFill>
            <w14:solidFill>
              <w14:schemeClr w14:val="tx1"/>
            </w14:solidFill>
          </w14:textFill>
        </w:rPr>
      </w:pPr>
      <w:r>
        <w:rPr>
          <w:rFonts w:hint="default" w:ascii="仿宋" w:hAnsi="仿宋" w:eastAsia="仿宋" w:cs="仿宋"/>
          <w:b w:val="0"/>
          <w:bCs w:val="0"/>
          <w:color w:val="000000" w:themeColor="text1"/>
          <w:spacing w:val="6"/>
          <w:sz w:val="24"/>
          <w:highlight w:val="none"/>
          <w:lang w:val="en-US" w:eastAsia="zh-CN"/>
          <w14:textFill>
            <w14:solidFill>
              <w14:schemeClr w14:val="tx1"/>
            </w14:solidFill>
          </w14:textFill>
        </w:rPr>
        <w:t>江苏省以化工行业为切入点建立了转型金融支持体系，并有序向钢铁、有色、印染、航运、建材、造纸等高碳行业拓展。中期内，本行可结合自身机械加工、服装鞋帽信贷投放占比高的客户特点，开发针对上述企业节能改造、设备绿色升级的信贷产品，逐步推出“园区保”“苏科贷”“苏碳融”等创新产品。</w:t>
      </w:r>
    </w:p>
    <w:p>
      <w:pPr>
        <w:keepNext w:val="0"/>
        <w:keepLines w:val="0"/>
        <w:pageBreakBefore w:val="0"/>
        <w:widowControl/>
        <w:kinsoku/>
        <w:wordWrap/>
        <w:overflowPunct/>
        <w:topLinePunct w:val="0"/>
        <w:autoSpaceDE w:val="0"/>
        <w:autoSpaceDN w:val="0"/>
        <w:bidi w:val="0"/>
        <w:adjustRightInd w:val="0"/>
        <w:snapToGrid w:val="0"/>
        <w:spacing w:before="217" w:beforeLines="50" w:line="240" w:lineRule="auto"/>
        <w:ind w:firstLine="504" w:firstLineChars="200"/>
        <w:textAlignment w:val="baseline"/>
        <w:outlineLvl w:val="3"/>
        <w:rPr>
          <w:rFonts w:hint="default" w:ascii="仿宋" w:hAnsi="仿宋" w:eastAsia="仿宋" w:cs="仿宋"/>
          <w:b w:val="0"/>
          <w:bCs w:val="0"/>
          <w:color w:val="000000" w:themeColor="text1"/>
          <w:spacing w:val="6"/>
          <w:sz w:val="24"/>
          <w:highlight w:val="none"/>
          <w:lang w:val="en-US" w:eastAsia="zh-CN"/>
          <w14:textFill>
            <w14:solidFill>
              <w14:schemeClr w14:val="tx1"/>
            </w14:solidFill>
          </w14:textFill>
        </w:rPr>
      </w:pPr>
      <w:r>
        <w:rPr>
          <w:rFonts w:hint="default" w:ascii="仿宋" w:hAnsi="仿宋" w:eastAsia="仿宋" w:cs="仿宋"/>
          <w:b w:val="0"/>
          <w:bCs w:val="0"/>
          <w:color w:val="000000" w:themeColor="text1"/>
          <w:spacing w:val="6"/>
          <w:sz w:val="24"/>
          <w:highlight w:val="none"/>
          <w:lang w:val="en-US" w:eastAsia="zh-CN"/>
          <w14:textFill>
            <w14:solidFill>
              <w14:schemeClr w14:val="tx1"/>
            </w14:solidFill>
          </w14:textFill>
        </w:rPr>
        <w:t>（</w:t>
      </w:r>
      <w:r>
        <w:rPr>
          <w:rFonts w:hint="eastAsia" w:ascii="仿宋" w:hAnsi="仿宋" w:eastAsia="仿宋" w:cs="仿宋"/>
          <w:b w:val="0"/>
          <w:bCs w:val="0"/>
          <w:color w:val="000000" w:themeColor="text1"/>
          <w:spacing w:val="6"/>
          <w:sz w:val="24"/>
          <w:highlight w:val="none"/>
          <w:lang w:val="en-US" w:eastAsia="zh-CN"/>
          <w14:textFill>
            <w14:solidFill>
              <w14:schemeClr w14:val="tx1"/>
            </w14:solidFill>
          </w14:textFill>
        </w:rPr>
        <w:t>2</w:t>
      </w:r>
      <w:r>
        <w:rPr>
          <w:rFonts w:hint="default" w:ascii="仿宋" w:hAnsi="仿宋" w:eastAsia="仿宋" w:cs="仿宋"/>
          <w:b w:val="0"/>
          <w:bCs w:val="0"/>
          <w:color w:val="000000" w:themeColor="text1"/>
          <w:spacing w:val="6"/>
          <w:sz w:val="24"/>
          <w:highlight w:val="none"/>
          <w:lang w:val="en-US" w:eastAsia="zh-CN"/>
          <w14:textFill>
            <w14:solidFill>
              <w14:schemeClr w14:val="tx1"/>
            </w14:solidFill>
          </w14:textFill>
        </w:rPr>
        <w:t>）特色产业绿色转型</w:t>
      </w:r>
    </w:p>
    <w:p>
      <w:pPr>
        <w:keepNext w:val="0"/>
        <w:keepLines w:val="0"/>
        <w:pageBreakBefore w:val="0"/>
        <w:widowControl/>
        <w:kinsoku/>
        <w:wordWrap/>
        <w:overflowPunct/>
        <w:topLinePunct w:val="0"/>
        <w:autoSpaceDE w:val="0"/>
        <w:autoSpaceDN w:val="0"/>
        <w:bidi w:val="0"/>
        <w:adjustRightInd w:val="0"/>
        <w:snapToGrid w:val="0"/>
        <w:spacing w:before="217" w:beforeLines="50" w:line="240" w:lineRule="auto"/>
        <w:ind w:firstLine="504"/>
        <w:textAlignment w:val="baseline"/>
        <w:rPr>
          <w:rFonts w:hint="default" w:ascii="仿宋" w:hAnsi="仿宋" w:eastAsia="仿宋" w:cs="仿宋"/>
          <w:b w:val="0"/>
          <w:bCs w:val="0"/>
          <w:color w:val="000000" w:themeColor="text1"/>
          <w:spacing w:val="6"/>
          <w:sz w:val="24"/>
          <w:highlight w:val="none"/>
          <w:lang w:val="en-US" w:eastAsia="zh-CN"/>
          <w14:textFill>
            <w14:solidFill>
              <w14:schemeClr w14:val="tx1"/>
            </w14:solidFill>
          </w14:textFill>
        </w:rPr>
      </w:pPr>
      <w:r>
        <w:rPr>
          <w:rFonts w:hint="default" w:ascii="仿宋" w:hAnsi="仿宋" w:eastAsia="仿宋" w:cs="仿宋"/>
          <w:b w:val="0"/>
          <w:bCs w:val="0"/>
          <w:color w:val="000000" w:themeColor="text1"/>
          <w:spacing w:val="6"/>
          <w:sz w:val="24"/>
          <w:highlight w:val="none"/>
          <w:lang w:val="en-US" w:eastAsia="zh-CN"/>
          <w14:textFill>
            <w14:solidFill>
              <w14:schemeClr w14:val="tx1"/>
            </w14:solidFill>
          </w14:textFill>
        </w:rPr>
        <w:t>本行于2026年1月在杭集特色支行成立牙刷绿色金融实验室，以“绿色赋能、创新驱动、产业共生”为核心定位。中期内，该实验室将成为可复制的特色产业绿色金融服务模式，为全省乃至全国特色产业绿色转型提供“扬州样板”。</w:t>
      </w:r>
    </w:p>
    <w:p>
      <w:pPr>
        <w:keepNext w:val="0"/>
        <w:keepLines w:val="0"/>
        <w:pageBreakBefore w:val="0"/>
        <w:widowControl/>
        <w:kinsoku/>
        <w:wordWrap/>
        <w:overflowPunct/>
        <w:topLinePunct w:val="0"/>
        <w:autoSpaceDE w:val="0"/>
        <w:autoSpaceDN w:val="0"/>
        <w:bidi w:val="0"/>
        <w:adjustRightInd w:val="0"/>
        <w:snapToGrid w:val="0"/>
        <w:spacing w:before="217" w:beforeLines="50" w:line="240" w:lineRule="auto"/>
        <w:ind w:firstLine="504" w:firstLineChars="200"/>
        <w:textAlignment w:val="baseline"/>
        <w:outlineLvl w:val="3"/>
        <w:rPr>
          <w:rFonts w:hint="default" w:ascii="仿宋" w:hAnsi="仿宋" w:eastAsia="仿宋" w:cs="仿宋"/>
          <w:b w:val="0"/>
          <w:bCs w:val="0"/>
          <w:color w:val="000000" w:themeColor="text1"/>
          <w:spacing w:val="6"/>
          <w:sz w:val="24"/>
          <w:highlight w:val="none"/>
          <w:lang w:val="en-US" w:eastAsia="zh-CN"/>
          <w14:textFill>
            <w14:solidFill>
              <w14:schemeClr w14:val="tx1"/>
            </w14:solidFill>
          </w14:textFill>
        </w:rPr>
      </w:pPr>
      <w:r>
        <w:rPr>
          <w:rFonts w:hint="default" w:ascii="仿宋" w:hAnsi="仿宋" w:eastAsia="仿宋" w:cs="仿宋"/>
          <w:b w:val="0"/>
          <w:bCs w:val="0"/>
          <w:color w:val="000000" w:themeColor="text1"/>
          <w:spacing w:val="6"/>
          <w:sz w:val="24"/>
          <w:highlight w:val="none"/>
          <w:lang w:val="en-US" w:eastAsia="zh-CN"/>
          <w14:textFill>
            <w14:solidFill>
              <w14:schemeClr w14:val="tx1"/>
            </w14:solidFill>
          </w14:textFill>
        </w:rPr>
        <w:t>（</w:t>
      </w:r>
      <w:r>
        <w:rPr>
          <w:rFonts w:hint="eastAsia" w:ascii="仿宋" w:hAnsi="仿宋" w:eastAsia="仿宋" w:cs="仿宋"/>
          <w:b w:val="0"/>
          <w:bCs w:val="0"/>
          <w:color w:val="000000" w:themeColor="text1"/>
          <w:spacing w:val="6"/>
          <w:sz w:val="24"/>
          <w:highlight w:val="none"/>
          <w:lang w:val="en-US" w:eastAsia="zh-CN"/>
          <w14:textFill>
            <w14:solidFill>
              <w14:schemeClr w14:val="tx1"/>
            </w14:solidFill>
          </w14:textFill>
        </w:rPr>
        <w:t>3</w:t>
      </w:r>
      <w:r>
        <w:rPr>
          <w:rFonts w:hint="default" w:ascii="仿宋" w:hAnsi="仿宋" w:eastAsia="仿宋" w:cs="仿宋"/>
          <w:b w:val="0"/>
          <w:bCs w:val="0"/>
          <w:color w:val="000000" w:themeColor="text1"/>
          <w:spacing w:val="6"/>
          <w:sz w:val="24"/>
          <w:highlight w:val="none"/>
          <w:lang w:val="en-US" w:eastAsia="zh-CN"/>
          <w14:textFill>
            <w14:solidFill>
              <w14:schemeClr w14:val="tx1"/>
            </w14:solidFill>
          </w14:textFill>
        </w:rPr>
        <w:t>）碳金融业务布局</w:t>
      </w:r>
    </w:p>
    <w:p>
      <w:pPr>
        <w:keepNext w:val="0"/>
        <w:keepLines w:val="0"/>
        <w:pageBreakBefore w:val="0"/>
        <w:widowControl/>
        <w:kinsoku/>
        <w:wordWrap/>
        <w:overflowPunct/>
        <w:topLinePunct w:val="0"/>
        <w:autoSpaceDE w:val="0"/>
        <w:autoSpaceDN w:val="0"/>
        <w:bidi w:val="0"/>
        <w:adjustRightInd w:val="0"/>
        <w:snapToGrid w:val="0"/>
        <w:spacing w:before="217" w:beforeLines="50" w:line="240" w:lineRule="auto"/>
        <w:ind w:firstLine="504"/>
        <w:textAlignment w:val="baseline"/>
        <w:rPr>
          <w:rFonts w:hint="default" w:ascii="仿宋" w:hAnsi="仿宋" w:eastAsia="仿宋" w:cs="仿宋"/>
          <w:b w:val="0"/>
          <w:bCs w:val="0"/>
          <w:color w:val="000000" w:themeColor="text1"/>
          <w:spacing w:val="6"/>
          <w:sz w:val="24"/>
          <w:highlight w:val="none"/>
          <w:lang w:val="en-US" w:eastAsia="zh-CN"/>
          <w14:textFill>
            <w14:solidFill>
              <w14:schemeClr w14:val="tx1"/>
            </w14:solidFill>
          </w14:textFill>
        </w:rPr>
      </w:pPr>
      <w:r>
        <w:rPr>
          <w:rFonts w:hint="default" w:ascii="仿宋" w:hAnsi="仿宋" w:eastAsia="仿宋" w:cs="仿宋"/>
          <w:b w:val="0"/>
          <w:bCs w:val="0"/>
          <w:color w:val="000000" w:themeColor="text1"/>
          <w:spacing w:val="6"/>
          <w:sz w:val="24"/>
          <w:highlight w:val="none"/>
          <w:lang w:val="en-US" w:eastAsia="zh-CN"/>
          <w14:textFill>
            <w14:solidFill>
              <w14:schemeClr w14:val="tx1"/>
            </w14:solidFill>
          </w14:textFill>
        </w:rPr>
        <w:t>随着全国碳市场建设的深入推进，碳排放权质押融资等碳金融业务将逐步成熟。中期内，本行可借助金融科技手段，在绿色金融市场拓展、客户服务、流程管理、风险管理、信息披露等方面进行技术创新，为企业碳资产管理提供综合金融服务。</w:t>
      </w:r>
    </w:p>
    <w:p>
      <w:pPr>
        <w:keepNext w:val="0"/>
        <w:keepLines w:val="0"/>
        <w:pageBreakBefore w:val="0"/>
        <w:widowControl/>
        <w:kinsoku/>
        <w:wordWrap/>
        <w:overflowPunct/>
        <w:topLinePunct w:val="0"/>
        <w:autoSpaceDE w:val="0"/>
        <w:autoSpaceDN w:val="0"/>
        <w:bidi w:val="0"/>
        <w:adjustRightInd w:val="0"/>
        <w:snapToGrid w:val="0"/>
        <w:spacing w:before="217" w:beforeLines="50" w:line="240" w:lineRule="auto"/>
        <w:ind w:firstLine="504" w:firstLineChars="200"/>
        <w:textAlignment w:val="baseline"/>
        <w:outlineLvl w:val="3"/>
        <w:rPr>
          <w:rFonts w:hint="default" w:ascii="仿宋" w:hAnsi="仿宋" w:eastAsia="仿宋" w:cs="仿宋"/>
          <w:b w:val="0"/>
          <w:bCs w:val="0"/>
          <w:color w:val="000000" w:themeColor="text1"/>
          <w:spacing w:val="6"/>
          <w:sz w:val="24"/>
          <w:highlight w:val="none"/>
          <w:lang w:val="en-US" w:eastAsia="zh-CN"/>
          <w14:textFill>
            <w14:solidFill>
              <w14:schemeClr w14:val="tx1"/>
            </w14:solidFill>
          </w14:textFill>
        </w:rPr>
      </w:pPr>
      <w:r>
        <w:rPr>
          <w:rFonts w:hint="default" w:ascii="仿宋" w:hAnsi="仿宋" w:eastAsia="仿宋" w:cs="仿宋"/>
          <w:b w:val="0"/>
          <w:bCs w:val="0"/>
          <w:color w:val="000000" w:themeColor="text1"/>
          <w:spacing w:val="6"/>
          <w:sz w:val="24"/>
          <w:highlight w:val="none"/>
          <w:lang w:val="en-US" w:eastAsia="zh-CN"/>
          <w14:textFill>
            <w14:solidFill>
              <w14:schemeClr w14:val="tx1"/>
            </w14:solidFill>
          </w14:textFill>
        </w:rPr>
        <w:t>（</w:t>
      </w:r>
      <w:r>
        <w:rPr>
          <w:rFonts w:hint="eastAsia" w:ascii="仿宋" w:hAnsi="仿宋" w:eastAsia="仿宋" w:cs="仿宋"/>
          <w:b w:val="0"/>
          <w:bCs w:val="0"/>
          <w:color w:val="000000" w:themeColor="text1"/>
          <w:spacing w:val="6"/>
          <w:sz w:val="24"/>
          <w:highlight w:val="none"/>
          <w:lang w:val="en-US" w:eastAsia="zh-CN"/>
          <w14:textFill>
            <w14:solidFill>
              <w14:schemeClr w14:val="tx1"/>
            </w14:solidFill>
          </w14:textFill>
        </w:rPr>
        <w:t>4</w:t>
      </w:r>
      <w:r>
        <w:rPr>
          <w:rFonts w:hint="default" w:ascii="仿宋" w:hAnsi="仿宋" w:eastAsia="仿宋" w:cs="仿宋"/>
          <w:b w:val="0"/>
          <w:bCs w:val="0"/>
          <w:color w:val="000000" w:themeColor="text1"/>
          <w:spacing w:val="6"/>
          <w:sz w:val="24"/>
          <w:highlight w:val="none"/>
          <w:lang w:val="en-US" w:eastAsia="zh-CN"/>
          <w14:textFill>
            <w14:solidFill>
              <w14:schemeClr w14:val="tx1"/>
            </w14:solidFill>
          </w14:textFill>
        </w:rPr>
        <w:t>）绿色金融品牌建设</w:t>
      </w:r>
    </w:p>
    <w:p>
      <w:pPr>
        <w:keepNext w:val="0"/>
        <w:keepLines w:val="0"/>
        <w:pageBreakBefore w:val="0"/>
        <w:widowControl/>
        <w:kinsoku/>
        <w:wordWrap/>
        <w:overflowPunct/>
        <w:topLinePunct w:val="0"/>
        <w:autoSpaceDE w:val="0"/>
        <w:autoSpaceDN w:val="0"/>
        <w:bidi w:val="0"/>
        <w:adjustRightInd w:val="0"/>
        <w:snapToGrid w:val="0"/>
        <w:spacing w:before="217" w:beforeLines="50" w:line="240" w:lineRule="auto"/>
        <w:ind w:firstLine="504"/>
        <w:textAlignment w:val="baseline"/>
        <w:rPr>
          <w:rFonts w:hint="default" w:ascii="仿宋" w:hAnsi="仿宋" w:eastAsia="仿宋" w:cs="仿宋"/>
          <w:b w:val="0"/>
          <w:bCs w:val="0"/>
          <w:color w:val="000000" w:themeColor="text1"/>
          <w:spacing w:val="6"/>
          <w:sz w:val="24"/>
          <w:highlight w:val="none"/>
          <w:lang w:val="en-US" w:eastAsia="zh-CN"/>
          <w14:textFill>
            <w14:solidFill>
              <w14:schemeClr w14:val="tx1"/>
            </w14:solidFill>
          </w14:textFill>
        </w:rPr>
      </w:pPr>
      <w:r>
        <w:rPr>
          <w:rFonts w:hint="default" w:ascii="仿宋" w:hAnsi="仿宋" w:eastAsia="仿宋" w:cs="仿宋"/>
          <w:b w:val="0"/>
          <w:bCs w:val="0"/>
          <w:color w:val="000000" w:themeColor="text1"/>
          <w:spacing w:val="6"/>
          <w:sz w:val="24"/>
          <w:highlight w:val="none"/>
          <w:lang w:val="en-US" w:eastAsia="zh-CN"/>
          <w14:textFill>
            <w14:solidFill>
              <w14:schemeClr w14:val="tx1"/>
            </w14:solidFill>
          </w14:textFill>
        </w:rPr>
        <w:t>本行绿色信贷不良贷款率持续为零，优良的资产质量为绿色金融品牌建设提供了坚实基础。中期内，通过持续深耕绿色金融领域，本行可逐步树立“区域最具服务力的绿色银行”品牌形象。</w:t>
      </w:r>
    </w:p>
    <w:p>
      <w:pPr>
        <w:keepNext w:val="0"/>
        <w:keepLines w:val="0"/>
        <w:pageBreakBefore w:val="0"/>
        <w:widowControl/>
        <w:kinsoku/>
        <w:wordWrap/>
        <w:overflowPunct/>
        <w:topLinePunct w:val="0"/>
        <w:autoSpaceDE w:val="0"/>
        <w:autoSpaceDN w:val="0"/>
        <w:bidi w:val="0"/>
        <w:adjustRightInd w:val="0"/>
        <w:snapToGrid w:val="0"/>
        <w:spacing w:before="149" w:beforeLines="50" w:line="240" w:lineRule="auto"/>
        <w:ind w:firstLine="480" w:firstLineChars="200"/>
        <w:textAlignment w:val="baseline"/>
        <w:outlineLvl w:val="2"/>
        <w:rPr>
          <w:rFonts w:hint="default" w:ascii="微软雅黑" w:hAnsi="微软雅黑" w:eastAsia="微软雅黑" w:cs="微软雅黑"/>
          <w:b w:val="0"/>
          <w:bCs/>
          <w:color w:val="000000" w:themeColor="text1"/>
          <w:kern w:val="2"/>
          <w:sz w:val="24"/>
          <w:szCs w:val="24"/>
          <w:lang w:val="en-US" w:eastAsia="zh-CN" w:bidi="ar-SA"/>
          <w14:textFill>
            <w14:solidFill>
              <w14:schemeClr w14:val="tx1"/>
            </w14:solidFill>
          </w14:textFill>
        </w:rPr>
      </w:pPr>
      <w:r>
        <w:rPr>
          <w:rFonts w:hint="eastAsia" w:ascii="微软雅黑" w:hAnsi="微软雅黑" w:eastAsia="微软雅黑" w:cs="微软雅黑"/>
          <w:b w:val="0"/>
          <w:bCs/>
          <w:color w:val="000000" w:themeColor="text1"/>
          <w:kern w:val="2"/>
          <w:sz w:val="24"/>
          <w:szCs w:val="24"/>
          <w:lang w:val="en-US" w:eastAsia="zh-CN" w:bidi="ar-SA"/>
          <w14:textFill>
            <w14:solidFill>
              <w14:schemeClr w14:val="tx1"/>
            </w14:solidFill>
          </w14:textFill>
        </w:rPr>
        <w:t>5.3.3</w:t>
      </w:r>
      <w:r>
        <w:rPr>
          <w:rFonts w:hint="default" w:ascii="微软雅黑" w:hAnsi="微软雅黑" w:eastAsia="微软雅黑" w:cs="微软雅黑"/>
          <w:b w:val="0"/>
          <w:bCs/>
          <w:color w:val="000000" w:themeColor="text1"/>
          <w:kern w:val="2"/>
          <w:sz w:val="24"/>
          <w:szCs w:val="24"/>
          <w:lang w:val="en-US" w:eastAsia="zh-CN" w:bidi="ar-SA"/>
          <w14:textFill>
            <w14:solidFill>
              <w14:schemeClr w14:val="tx1"/>
            </w14:solidFill>
          </w14:textFill>
        </w:rPr>
        <w:t>长期机遇（10年以上）</w:t>
      </w:r>
    </w:p>
    <w:p>
      <w:pPr>
        <w:keepNext w:val="0"/>
        <w:keepLines w:val="0"/>
        <w:pageBreakBefore w:val="0"/>
        <w:widowControl/>
        <w:kinsoku/>
        <w:wordWrap/>
        <w:overflowPunct/>
        <w:topLinePunct w:val="0"/>
        <w:autoSpaceDE w:val="0"/>
        <w:autoSpaceDN w:val="0"/>
        <w:bidi w:val="0"/>
        <w:adjustRightInd w:val="0"/>
        <w:snapToGrid w:val="0"/>
        <w:spacing w:before="217" w:beforeLines="50" w:line="240" w:lineRule="auto"/>
        <w:ind w:firstLine="504" w:firstLineChars="200"/>
        <w:textAlignment w:val="baseline"/>
        <w:outlineLvl w:val="3"/>
        <w:rPr>
          <w:rFonts w:hint="default" w:ascii="仿宋" w:hAnsi="仿宋" w:eastAsia="仿宋" w:cs="仿宋"/>
          <w:b w:val="0"/>
          <w:bCs w:val="0"/>
          <w:color w:val="000000" w:themeColor="text1"/>
          <w:spacing w:val="6"/>
          <w:sz w:val="24"/>
          <w:highlight w:val="none"/>
          <w:lang w:val="en-US" w:eastAsia="zh-CN"/>
          <w14:textFill>
            <w14:solidFill>
              <w14:schemeClr w14:val="tx1"/>
            </w14:solidFill>
          </w14:textFill>
        </w:rPr>
      </w:pPr>
      <w:r>
        <w:rPr>
          <w:rFonts w:hint="default" w:ascii="仿宋" w:hAnsi="仿宋" w:eastAsia="仿宋" w:cs="仿宋"/>
          <w:b w:val="0"/>
          <w:bCs w:val="0"/>
          <w:color w:val="000000" w:themeColor="text1"/>
          <w:spacing w:val="6"/>
          <w:sz w:val="24"/>
          <w:highlight w:val="none"/>
          <w:lang w:val="en-US" w:eastAsia="zh-CN"/>
          <w14:textFill>
            <w14:solidFill>
              <w14:schemeClr w14:val="tx1"/>
            </w14:solidFill>
          </w14:textFill>
        </w:rPr>
        <w:t>（</w:t>
      </w:r>
      <w:r>
        <w:rPr>
          <w:rFonts w:hint="eastAsia" w:ascii="仿宋" w:hAnsi="仿宋" w:eastAsia="仿宋" w:cs="仿宋"/>
          <w:b w:val="0"/>
          <w:bCs w:val="0"/>
          <w:color w:val="000000" w:themeColor="text1"/>
          <w:spacing w:val="6"/>
          <w:sz w:val="24"/>
          <w:highlight w:val="none"/>
          <w:lang w:val="en-US" w:eastAsia="zh-CN"/>
          <w14:textFill>
            <w14:solidFill>
              <w14:schemeClr w14:val="tx1"/>
            </w14:solidFill>
          </w14:textFill>
        </w:rPr>
        <w:t>1</w:t>
      </w:r>
      <w:r>
        <w:rPr>
          <w:rFonts w:hint="default" w:ascii="仿宋" w:hAnsi="仿宋" w:eastAsia="仿宋" w:cs="仿宋"/>
          <w:b w:val="0"/>
          <w:bCs w:val="0"/>
          <w:color w:val="000000" w:themeColor="text1"/>
          <w:spacing w:val="6"/>
          <w:sz w:val="24"/>
          <w:highlight w:val="none"/>
          <w:lang w:val="en-US" w:eastAsia="zh-CN"/>
          <w14:textFill>
            <w14:solidFill>
              <w14:schemeClr w14:val="tx1"/>
            </w14:solidFill>
          </w14:textFill>
        </w:rPr>
        <w:t>）“双碳”目标下的结构性转型机遇</w:t>
      </w:r>
    </w:p>
    <w:p>
      <w:pPr>
        <w:keepNext w:val="0"/>
        <w:keepLines w:val="0"/>
        <w:pageBreakBefore w:val="0"/>
        <w:widowControl/>
        <w:kinsoku/>
        <w:wordWrap/>
        <w:overflowPunct/>
        <w:topLinePunct w:val="0"/>
        <w:autoSpaceDE w:val="0"/>
        <w:autoSpaceDN w:val="0"/>
        <w:bidi w:val="0"/>
        <w:adjustRightInd w:val="0"/>
        <w:snapToGrid w:val="0"/>
        <w:spacing w:before="217" w:beforeLines="50" w:line="240" w:lineRule="auto"/>
        <w:ind w:firstLine="504"/>
        <w:textAlignment w:val="baseline"/>
        <w:rPr>
          <w:rFonts w:hint="default" w:ascii="仿宋" w:hAnsi="仿宋" w:eastAsia="仿宋" w:cs="仿宋"/>
          <w:b w:val="0"/>
          <w:bCs w:val="0"/>
          <w:color w:val="000000" w:themeColor="text1"/>
          <w:spacing w:val="6"/>
          <w:sz w:val="24"/>
          <w:highlight w:val="none"/>
          <w:lang w:val="en-US" w:eastAsia="zh-CN"/>
          <w14:textFill>
            <w14:solidFill>
              <w14:schemeClr w14:val="tx1"/>
            </w14:solidFill>
          </w14:textFill>
        </w:rPr>
      </w:pPr>
      <w:r>
        <w:rPr>
          <w:rFonts w:hint="default" w:ascii="仿宋" w:hAnsi="仿宋" w:eastAsia="仿宋" w:cs="仿宋"/>
          <w:b w:val="0"/>
          <w:bCs w:val="0"/>
          <w:color w:val="000000" w:themeColor="text1"/>
          <w:spacing w:val="6"/>
          <w:sz w:val="24"/>
          <w:highlight w:val="none"/>
          <w:lang w:val="en-US" w:eastAsia="zh-CN"/>
          <w14:textFill>
            <w14:solidFill>
              <w14:schemeClr w14:val="tx1"/>
            </w14:solidFill>
          </w14:textFill>
        </w:rPr>
        <w:t>随着国家“双碳”战略的深入推进，经济社会向低碳、可持续发展模式全面转型。长期来看，绿色制造、清洁能源、绿色交通、绿色建筑等低碳领域将迎来持续增长的融资需求。本行通过持续优化信贷结构，将绿色信贷打造为全行核心业务增长极，实现从“绿色金融先行者”向“绿色金融领军者”的跨越。</w:t>
      </w:r>
    </w:p>
    <w:p>
      <w:pPr>
        <w:keepNext w:val="0"/>
        <w:keepLines w:val="0"/>
        <w:pageBreakBefore w:val="0"/>
        <w:widowControl/>
        <w:kinsoku/>
        <w:wordWrap/>
        <w:overflowPunct/>
        <w:topLinePunct w:val="0"/>
        <w:autoSpaceDE w:val="0"/>
        <w:autoSpaceDN w:val="0"/>
        <w:bidi w:val="0"/>
        <w:adjustRightInd w:val="0"/>
        <w:snapToGrid w:val="0"/>
        <w:spacing w:before="217" w:beforeLines="50" w:line="240" w:lineRule="auto"/>
        <w:ind w:firstLine="504" w:firstLineChars="200"/>
        <w:textAlignment w:val="baseline"/>
        <w:outlineLvl w:val="3"/>
        <w:rPr>
          <w:rFonts w:hint="default" w:ascii="仿宋" w:hAnsi="仿宋" w:eastAsia="仿宋" w:cs="仿宋"/>
          <w:b w:val="0"/>
          <w:bCs w:val="0"/>
          <w:color w:val="000000" w:themeColor="text1"/>
          <w:spacing w:val="6"/>
          <w:sz w:val="24"/>
          <w:highlight w:val="none"/>
          <w:lang w:val="en-US" w:eastAsia="zh-CN"/>
          <w14:textFill>
            <w14:solidFill>
              <w14:schemeClr w14:val="tx1"/>
            </w14:solidFill>
          </w14:textFill>
        </w:rPr>
      </w:pPr>
      <w:r>
        <w:rPr>
          <w:rFonts w:hint="default" w:ascii="仿宋" w:hAnsi="仿宋" w:eastAsia="仿宋" w:cs="仿宋"/>
          <w:b w:val="0"/>
          <w:bCs w:val="0"/>
          <w:color w:val="000000" w:themeColor="text1"/>
          <w:spacing w:val="6"/>
          <w:sz w:val="24"/>
          <w:highlight w:val="none"/>
          <w:lang w:val="en-US" w:eastAsia="zh-CN"/>
          <w14:textFill>
            <w14:solidFill>
              <w14:schemeClr w14:val="tx1"/>
            </w14:solidFill>
          </w14:textFill>
        </w:rPr>
        <w:t>（</w:t>
      </w:r>
      <w:r>
        <w:rPr>
          <w:rFonts w:hint="eastAsia" w:ascii="仿宋" w:hAnsi="仿宋" w:eastAsia="仿宋" w:cs="仿宋"/>
          <w:b w:val="0"/>
          <w:bCs w:val="0"/>
          <w:color w:val="000000" w:themeColor="text1"/>
          <w:spacing w:val="6"/>
          <w:sz w:val="24"/>
          <w:highlight w:val="none"/>
          <w:lang w:val="en-US" w:eastAsia="zh-CN"/>
          <w14:textFill>
            <w14:solidFill>
              <w14:schemeClr w14:val="tx1"/>
            </w14:solidFill>
          </w14:textFill>
        </w:rPr>
        <w:t>2</w:t>
      </w:r>
      <w:r>
        <w:rPr>
          <w:rFonts w:hint="default" w:ascii="仿宋" w:hAnsi="仿宋" w:eastAsia="仿宋" w:cs="仿宋"/>
          <w:b w:val="0"/>
          <w:bCs w:val="0"/>
          <w:color w:val="000000" w:themeColor="text1"/>
          <w:spacing w:val="6"/>
          <w:sz w:val="24"/>
          <w:highlight w:val="none"/>
          <w:lang w:val="en-US" w:eastAsia="zh-CN"/>
          <w14:textFill>
            <w14:solidFill>
              <w14:schemeClr w14:val="tx1"/>
            </w14:solidFill>
          </w14:textFill>
        </w:rPr>
        <w:t>）乡村振兴与绿色金融深度融合</w:t>
      </w:r>
    </w:p>
    <w:p>
      <w:pPr>
        <w:keepNext w:val="0"/>
        <w:keepLines w:val="0"/>
        <w:pageBreakBefore w:val="0"/>
        <w:widowControl/>
        <w:kinsoku/>
        <w:wordWrap/>
        <w:overflowPunct/>
        <w:topLinePunct w:val="0"/>
        <w:autoSpaceDE w:val="0"/>
        <w:autoSpaceDN w:val="0"/>
        <w:bidi w:val="0"/>
        <w:adjustRightInd w:val="0"/>
        <w:snapToGrid w:val="0"/>
        <w:spacing w:before="217" w:beforeLines="50" w:line="240" w:lineRule="auto"/>
        <w:ind w:firstLine="504"/>
        <w:textAlignment w:val="baseline"/>
        <w:rPr>
          <w:rFonts w:hint="default" w:ascii="仿宋" w:hAnsi="仿宋" w:eastAsia="仿宋" w:cs="仿宋"/>
          <w:b w:val="0"/>
          <w:bCs w:val="0"/>
          <w:color w:val="000000" w:themeColor="text1"/>
          <w:spacing w:val="6"/>
          <w:sz w:val="24"/>
          <w:highlight w:val="none"/>
          <w:lang w:val="en-US" w:eastAsia="zh-CN"/>
          <w14:textFill>
            <w14:solidFill>
              <w14:schemeClr w14:val="tx1"/>
            </w14:solidFill>
          </w14:textFill>
        </w:rPr>
      </w:pPr>
      <w:r>
        <w:rPr>
          <w:rFonts w:hint="default" w:ascii="仿宋" w:hAnsi="仿宋" w:eastAsia="仿宋" w:cs="仿宋"/>
          <w:b w:val="0"/>
          <w:bCs w:val="0"/>
          <w:color w:val="000000" w:themeColor="text1"/>
          <w:spacing w:val="6"/>
          <w:sz w:val="24"/>
          <w:highlight w:val="none"/>
          <w:lang w:val="en-US" w:eastAsia="zh-CN"/>
          <w14:textFill>
            <w14:solidFill>
              <w14:schemeClr w14:val="tx1"/>
            </w14:solidFill>
          </w14:textFill>
        </w:rPr>
        <w:t>本行作为农村金融主力军和乡村振兴主办行，长期深耕“三农”领域。随着乡村振兴战略与绿色发展的深度融合，绿色农业、生态旅游、农村人居环境整治等领域将释放巨大的金融服务需求。本行可充分发挥扎根基层、服务“三农”的天然优势，将绿色金融服务网络延伸至乡村末梢。</w:t>
      </w:r>
    </w:p>
    <w:p>
      <w:pPr>
        <w:keepNext w:val="0"/>
        <w:keepLines w:val="0"/>
        <w:pageBreakBefore w:val="0"/>
        <w:widowControl/>
        <w:kinsoku/>
        <w:wordWrap/>
        <w:overflowPunct/>
        <w:topLinePunct w:val="0"/>
        <w:autoSpaceDE w:val="0"/>
        <w:autoSpaceDN w:val="0"/>
        <w:bidi w:val="0"/>
        <w:adjustRightInd w:val="0"/>
        <w:snapToGrid w:val="0"/>
        <w:spacing w:before="217" w:beforeLines="50" w:line="240" w:lineRule="auto"/>
        <w:ind w:firstLine="504" w:firstLineChars="200"/>
        <w:textAlignment w:val="baseline"/>
        <w:outlineLvl w:val="3"/>
        <w:rPr>
          <w:rFonts w:hint="default" w:ascii="仿宋" w:hAnsi="仿宋" w:eastAsia="仿宋" w:cs="仿宋"/>
          <w:b w:val="0"/>
          <w:bCs w:val="0"/>
          <w:color w:val="000000" w:themeColor="text1"/>
          <w:spacing w:val="6"/>
          <w:sz w:val="24"/>
          <w:highlight w:val="none"/>
          <w:lang w:val="en-US" w:eastAsia="zh-CN"/>
          <w14:textFill>
            <w14:solidFill>
              <w14:schemeClr w14:val="tx1"/>
            </w14:solidFill>
          </w14:textFill>
        </w:rPr>
      </w:pPr>
      <w:r>
        <w:rPr>
          <w:rFonts w:hint="default" w:ascii="仿宋" w:hAnsi="仿宋" w:eastAsia="仿宋" w:cs="仿宋"/>
          <w:b w:val="0"/>
          <w:bCs w:val="0"/>
          <w:color w:val="000000" w:themeColor="text1"/>
          <w:spacing w:val="6"/>
          <w:sz w:val="24"/>
          <w:highlight w:val="none"/>
          <w:lang w:val="en-US" w:eastAsia="zh-CN"/>
          <w14:textFill>
            <w14:solidFill>
              <w14:schemeClr w14:val="tx1"/>
            </w14:solidFill>
          </w14:textFill>
        </w:rPr>
        <w:t>（</w:t>
      </w:r>
      <w:r>
        <w:rPr>
          <w:rFonts w:hint="eastAsia" w:ascii="仿宋" w:hAnsi="仿宋" w:eastAsia="仿宋" w:cs="仿宋"/>
          <w:b w:val="0"/>
          <w:bCs w:val="0"/>
          <w:color w:val="000000" w:themeColor="text1"/>
          <w:spacing w:val="6"/>
          <w:sz w:val="24"/>
          <w:highlight w:val="none"/>
          <w:lang w:val="en-US" w:eastAsia="zh-CN"/>
          <w14:textFill>
            <w14:solidFill>
              <w14:schemeClr w14:val="tx1"/>
            </w14:solidFill>
          </w14:textFill>
        </w:rPr>
        <w:t>3</w:t>
      </w:r>
      <w:r>
        <w:rPr>
          <w:rFonts w:hint="default" w:ascii="仿宋" w:hAnsi="仿宋" w:eastAsia="仿宋" w:cs="仿宋"/>
          <w:b w:val="0"/>
          <w:bCs w:val="0"/>
          <w:color w:val="000000" w:themeColor="text1"/>
          <w:spacing w:val="6"/>
          <w:sz w:val="24"/>
          <w:highlight w:val="none"/>
          <w:lang w:val="en-US" w:eastAsia="zh-CN"/>
          <w14:textFill>
            <w14:solidFill>
              <w14:schemeClr w14:val="tx1"/>
            </w14:solidFill>
          </w14:textFill>
        </w:rPr>
        <w:t>）绿色金融能力输出的平台化机遇</w:t>
      </w:r>
    </w:p>
    <w:p>
      <w:pPr>
        <w:keepNext w:val="0"/>
        <w:keepLines w:val="0"/>
        <w:pageBreakBefore w:val="0"/>
        <w:widowControl/>
        <w:kinsoku/>
        <w:wordWrap/>
        <w:overflowPunct/>
        <w:topLinePunct w:val="0"/>
        <w:autoSpaceDE w:val="0"/>
        <w:autoSpaceDN w:val="0"/>
        <w:bidi w:val="0"/>
        <w:adjustRightInd w:val="0"/>
        <w:snapToGrid w:val="0"/>
        <w:spacing w:before="217" w:beforeLines="50" w:line="240" w:lineRule="auto"/>
        <w:ind w:firstLine="504"/>
        <w:textAlignment w:val="baseline"/>
        <w:rPr>
          <w:rFonts w:hint="default" w:ascii="仿宋" w:hAnsi="仿宋" w:eastAsia="仿宋" w:cs="仿宋"/>
          <w:b w:val="0"/>
          <w:bCs w:val="0"/>
          <w:color w:val="000000" w:themeColor="text1"/>
          <w:spacing w:val="6"/>
          <w:sz w:val="24"/>
          <w:highlight w:val="none"/>
          <w:lang w:val="en-US" w:eastAsia="zh-CN"/>
          <w14:textFill>
            <w14:solidFill>
              <w14:schemeClr w14:val="tx1"/>
            </w14:solidFill>
          </w14:textFill>
        </w:rPr>
      </w:pPr>
      <w:r>
        <w:rPr>
          <w:rFonts w:hint="default" w:ascii="仿宋" w:hAnsi="仿宋" w:eastAsia="仿宋" w:cs="仿宋"/>
          <w:b w:val="0"/>
          <w:bCs w:val="0"/>
          <w:color w:val="000000" w:themeColor="text1"/>
          <w:spacing w:val="6"/>
          <w:sz w:val="24"/>
          <w:highlight w:val="none"/>
          <w:lang w:val="en-US" w:eastAsia="zh-CN"/>
          <w14:textFill>
            <w14:solidFill>
              <w14:schemeClr w14:val="tx1"/>
            </w14:solidFill>
          </w14:textFill>
        </w:rPr>
        <w:t>通过长期积累绿色金融产品研发、风险管理、数据治理等方面的专业能力，本行有望向区域内其他金融机构输出绿色金融解决方案，实现从“服务提供者”向“能力输出者”的转型升级。</w:t>
      </w:r>
    </w:p>
    <w:p>
      <w:pPr>
        <w:keepNext w:val="0"/>
        <w:keepLines w:val="0"/>
        <w:pageBreakBefore w:val="0"/>
        <w:widowControl/>
        <w:kinsoku/>
        <w:wordWrap/>
        <w:overflowPunct/>
        <w:topLinePunct w:val="0"/>
        <w:autoSpaceDE w:val="0"/>
        <w:autoSpaceDN w:val="0"/>
        <w:bidi w:val="0"/>
        <w:adjustRightInd w:val="0"/>
        <w:snapToGrid w:val="0"/>
        <w:spacing w:before="217" w:beforeLines="50" w:line="240" w:lineRule="auto"/>
        <w:ind w:firstLine="504" w:firstLineChars="200"/>
        <w:textAlignment w:val="baseline"/>
        <w:outlineLvl w:val="3"/>
        <w:rPr>
          <w:rFonts w:hint="default" w:ascii="仿宋" w:hAnsi="仿宋" w:eastAsia="仿宋" w:cs="仿宋"/>
          <w:b w:val="0"/>
          <w:bCs w:val="0"/>
          <w:color w:val="000000" w:themeColor="text1"/>
          <w:spacing w:val="6"/>
          <w:sz w:val="24"/>
          <w:highlight w:val="none"/>
          <w:lang w:val="en-US" w:eastAsia="zh-CN"/>
          <w14:textFill>
            <w14:solidFill>
              <w14:schemeClr w14:val="tx1"/>
            </w14:solidFill>
          </w14:textFill>
        </w:rPr>
      </w:pPr>
      <w:r>
        <w:rPr>
          <w:rFonts w:hint="default" w:ascii="仿宋" w:hAnsi="仿宋" w:eastAsia="仿宋" w:cs="仿宋"/>
          <w:b w:val="0"/>
          <w:bCs w:val="0"/>
          <w:color w:val="000000" w:themeColor="text1"/>
          <w:spacing w:val="6"/>
          <w:sz w:val="24"/>
          <w:highlight w:val="none"/>
          <w:lang w:val="en-US" w:eastAsia="zh-CN"/>
          <w14:textFill>
            <w14:solidFill>
              <w14:schemeClr w14:val="tx1"/>
            </w14:solidFill>
          </w14:textFill>
        </w:rPr>
        <w:t>（</w:t>
      </w:r>
      <w:r>
        <w:rPr>
          <w:rFonts w:hint="eastAsia" w:ascii="仿宋" w:hAnsi="仿宋" w:eastAsia="仿宋" w:cs="仿宋"/>
          <w:b w:val="0"/>
          <w:bCs w:val="0"/>
          <w:color w:val="000000" w:themeColor="text1"/>
          <w:spacing w:val="6"/>
          <w:sz w:val="24"/>
          <w:highlight w:val="none"/>
          <w:lang w:val="en-US" w:eastAsia="zh-CN"/>
          <w14:textFill>
            <w14:solidFill>
              <w14:schemeClr w14:val="tx1"/>
            </w14:solidFill>
          </w14:textFill>
        </w:rPr>
        <w:t>4</w:t>
      </w:r>
      <w:r>
        <w:rPr>
          <w:rFonts w:hint="default" w:ascii="仿宋" w:hAnsi="仿宋" w:eastAsia="仿宋" w:cs="仿宋"/>
          <w:b w:val="0"/>
          <w:bCs w:val="0"/>
          <w:color w:val="000000" w:themeColor="text1"/>
          <w:spacing w:val="6"/>
          <w:sz w:val="24"/>
          <w:highlight w:val="none"/>
          <w:lang w:val="en-US" w:eastAsia="zh-CN"/>
          <w14:textFill>
            <w14:solidFill>
              <w14:schemeClr w14:val="tx1"/>
            </w14:solidFill>
          </w14:textFill>
        </w:rPr>
        <w:t>）环境效益与经济效益的双赢格局</w:t>
      </w:r>
    </w:p>
    <w:p>
      <w:pPr>
        <w:keepNext w:val="0"/>
        <w:keepLines w:val="0"/>
        <w:pageBreakBefore w:val="0"/>
        <w:widowControl/>
        <w:kinsoku/>
        <w:wordWrap/>
        <w:overflowPunct/>
        <w:topLinePunct w:val="0"/>
        <w:autoSpaceDE w:val="0"/>
        <w:autoSpaceDN w:val="0"/>
        <w:bidi w:val="0"/>
        <w:adjustRightInd w:val="0"/>
        <w:snapToGrid w:val="0"/>
        <w:spacing w:before="217" w:beforeLines="50" w:line="240" w:lineRule="auto"/>
        <w:ind w:firstLine="504"/>
        <w:textAlignment w:val="baseline"/>
        <w:rPr>
          <w:rFonts w:hint="default" w:ascii="仿宋" w:hAnsi="仿宋" w:eastAsia="仿宋" w:cs="仿宋"/>
          <w:b w:val="0"/>
          <w:bCs w:val="0"/>
          <w:color w:val="000000" w:themeColor="text1"/>
          <w:spacing w:val="6"/>
          <w:sz w:val="24"/>
          <w:highlight w:val="none"/>
          <w:lang w:val="en-US" w:eastAsia="zh-CN"/>
          <w14:textFill>
            <w14:solidFill>
              <w14:schemeClr w14:val="tx1"/>
            </w14:solidFill>
          </w14:textFill>
        </w:rPr>
      </w:pPr>
      <w:r>
        <w:rPr>
          <w:rFonts w:hint="default" w:ascii="仿宋" w:hAnsi="仿宋" w:eastAsia="仿宋" w:cs="仿宋"/>
          <w:b w:val="0"/>
          <w:bCs w:val="0"/>
          <w:color w:val="000000" w:themeColor="text1"/>
          <w:spacing w:val="6"/>
          <w:sz w:val="24"/>
          <w:highlight w:val="none"/>
          <w:lang w:val="en-US" w:eastAsia="zh-CN"/>
          <w14:textFill>
            <w14:solidFill>
              <w14:schemeClr w14:val="tx1"/>
            </w14:solidFill>
          </w14:textFill>
        </w:rPr>
        <w:t>本行始终秉承“精诚、昱德、立新”的企业核心价值观，以“富强美好城乡，筑梦扬州金融”为企业使命。长期来看，通过持续深耕绿色金融领域，本行将在支持地方经济绿色低碳转型的同时，实现自身高质量发展的战略目标，形成环境效益与经济效益相互促进的双赢格局。</w:t>
      </w:r>
    </w:p>
    <w:p>
      <w:pPr>
        <w:pStyle w:val="2"/>
        <w:keepNext w:val="0"/>
        <w:keepLines w:val="0"/>
        <w:pageBreakBefore w:val="0"/>
        <w:widowControl w:val="0"/>
        <w:kinsoku/>
        <w:wordWrap/>
        <w:overflowPunct/>
        <w:topLinePunct w:val="0"/>
        <w:autoSpaceDE/>
        <w:autoSpaceDN/>
        <w:bidi w:val="0"/>
        <w:adjustRightInd/>
        <w:snapToGrid/>
        <w:spacing w:after="0" w:line="240" w:lineRule="auto"/>
        <w:textAlignment w:val="auto"/>
        <w:rPr>
          <w:rFonts w:hint="eastAsia" w:ascii="仿宋" w:hAnsi="仿宋" w:eastAsia="仿宋" w:cs="仿宋"/>
          <w:b w:val="0"/>
          <w:bCs/>
          <w:snapToGrid w:val="0"/>
          <w:color w:val="auto"/>
          <w:spacing w:val="6"/>
          <w:kern w:val="0"/>
          <w:sz w:val="18"/>
          <w:szCs w:val="18"/>
          <w:lang w:val="en-US" w:eastAsia="zh-CN" w:bidi="ar-SA"/>
        </w:rPr>
      </w:pPr>
      <w:bookmarkStart w:id="22" w:name="_Toc29991"/>
    </w:p>
    <w:p>
      <w:pPr>
        <w:keepNext w:val="0"/>
        <w:keepLines w:val="0"/>
        <w:pageBreakBefore w:val="0"/>
        <w:widowControl/>
        <w:numPr>
          <w:ilvl w:val="0"/>
          <w:numId w:val="0"/>
        </w:numPr>
        <w:kinsoku/>
        <w:wordWrap/>
        <w:overflowPunct/>
        <w:topLinePunct w:val="0"/>
        <w:autoSpaceDE w:val="0"/>
        <w:autoSpaceDN w:val="0"/>
        <w:bidi w:val="0"/>
        <w:adjustRightInd w:val="0"/>
        <w:snapToGrid w:val="0"/>
        <w:spacing w:before="149" w:beforeLines="50" w:line="240" w:lineRule="auto"/>
        <w:ind w:left="0" w:leftChars="0" w:firstLine="0" w:firstLineChars="0"/>
        <w:textAlignment w:val="baseline"/>
        <w:outlineLvl w:val="0"/>
        <w:rPr>
          <w:rFonts w:hint="eastAsia" w:ascii="微软雅黑" w:hAnsi="微软雅黑" w:eastAsia="微软雅黑" w:cs="微软雅黑"/>
          <w:b w:val="0"/>
          <w:bCs/>
          <w:color w:val="000000" w:themeColor="text1"/>
          <w:kern w:val="2"/>
          <w:sz w:val="28"/>
          <w:szCs w:val="28"/>
          <w:lang w:val="en-US" w:eastAsia="zh-CN" w:bidi="ar-SA"/>
          <w14:textFill>
            <w14:solidFill>
              <w14:schemeClr w14:val="tx1"/>
            </w14:solidFill>
          </w14:textFill>
        </w:rPr>
      </w:pPr>
      <w:r>
        <w:rPr>
          <w:rFonts w:hint="eastAsia" w:ascii="微软雅黑" w:hAnsi="微软雅黑" w:eastAsia="微软雅黑" w:cs="微软雅黑"/>
          <w:b w:val="0"/>
          <w:bCs/>
          <w:color w:val="000000" w:themeColor="text1"/>
          <w:kern w:val="2"/>
          <w:sz w:val="28"/>
          <w:szCs w:val="28"/>
          <w:lang w:val="en-US" w:eastAsia="zh-CN" w:bidi="ar-SA"/>
          <w14:textFill>
            <w14:solidFill>
              <w14:schemeClr w14:val="tx1"/>
            </w14:solidFill>
          </w14:textFill>
        </w:rPr>
        <w:t>5.4 情景分析与压力测试</w:t>
      </w:r>
      <w:bookmarkEnd w:id="22"/>
    </w:p>
    <w:p>
      <w:pPr>
        <w:keepNext w:val="0"/>
        <w:keepLines w:val="0"/>
        <w:pageBreakBefore w:val="0"/>
        <w:widowControl/>
        <w:kinsoku/>
        <w:wordWrap/>
        <w:overflowPunct/>
        <w:topLinePunct w:val="0"/>
        <w:autoSpaceDE w:val="0"/>
        <w:autoSpaceDN w:val="0"/>
        <w:bidi w:val="0"/>
        <w:adjustRightInd w:val="0"/>
        <w:snapToGrid w:val="0"/>
        <w:spacing w:before="149" w:beforeLines="50" w:line="240" w:lineRule="auto"/>
        <w:ind w:firstLine="504" w:firstLineChars="200"/>
        <w:textAlignment w:val="baseline"/>
        <w:outlineLvl w:val="9"/>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pP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当前，全球央行与监管机构正逐步形成普遍共识：环境风险——涵盖环境退化与气候变化所引发的各类风险——已成为金融风险的重大来源之一。环境和气候因素不仅可能直接转化为金融机构所面临的信用、市场、操作等传统金融风险，亦可能通过系统性传导路径，对整体金融稳定构成潜在威胁。在此背景下，本行高度重视气候风险的前瞻性研判与量化管理，围绕气候风险情景构建与压力测试方法开展持续探索。目前，本行在气候风险情景分析与压力测试领域已初步完成理论研究阶段的工作，正在推进方法论验证与模型优化。</w:t>
      </w:r>
    </w:p>
    <w:p>
      <w:pPr>
        <w:pageBreakBefore w:val="0"/>
        <w:widowControl/>
        <w:kinsoku w:val="0"/>
        <w:wordWrap/>
        <w:topLinePunct w:val="0"/>
        <w:autoSpaceDE w:val="0"/>
        <w:autoSpaceDN w:val="0"/>
        <w:bidi w:val="0"/>
        <w:adjustRightInd w:val="0"/>
        <w:snapToGrid w:val="0"/>
        <w:spacing w:before="149" w:beforeLines="50" w:line="240" w:lineRule="auto"/>
        <w:ind w:firstLine="480" w:firstLineChars="200"/>
        <w:textAlignment w:val="baseline"/>
        <w:outlineLvl w:val="2"/>
        <w:rPr>
          <w:rFonts w:hint="default" w:ascii="微软雅黑" w:hAnsi="微软雅黑" w:eastAsia="微软雅黑" w:cs="微软雅黑"/>
          <w:b w:val="0"/>
          <w:bCs/>
          <w:color w:val="000000" w:themeColor="text1"/>
          <w:kern w:val="2"/>
          <w:sz w:val="24"/>
          <w:szCs w:val="24"/>
          <w:lang w:val="en-US" w:eastAsia="zh-CN" w:bidi="ar-SA"/>
          <w14:textFill>
            <w14:solidFill>
              <w14:schemeClr w14:val="tx1"/>
            </w14:solidFill>
          </w14:textFill>
        </w:rPr>
      </w:pPr>
      <w:r>
        <w:rPr>
          <w:rFonts w:hint="eastAsia" w:ascii="微软雅黑" w:hAnsi="微软雅黑" w:eastAsia="微软雅黑" w:cs="微软雅黑"/>
          <w:b w:val="0"/>
          <w:bCs/>
          <w:color w:val="000000" w:themeColor="text1"/>
          <w:kern w:val="2"/>
          <w:sz w:val="24"/>
          <w:szCs w:val="24"/>
          <w:lang w:val="en-US" w:eastAsia="zh-CN" w:bidi="ar-SA"/>
          <w14:textFill>
            <w14:solidFill>
              <w14:schemeClr w14:val="tx1"/>
            </w14:solidFill>
          </w14:textFill>
        </w:rPr>
        <w:t>5.4.1气候风险</w:t>
      </w:r>
    </w:p>
    <w:p>
      <w:pPr>
        <w:keepNext w:val="0"/>
        <w:keepLines w:val="0"/>
        <w:pageBreakBefore w:val="0"/>
        <w:widowControl/>
        <w:kinsoku/>
        <w:wordWrap/>
        <w:overflowPunct/>
        <w:topLinePunct w:val="0"/>
        <w:autoSpaceDE w:val="0"/>
        <w:autoSpaceDN w:val="0"/>
        <w:bidi w:val="0"/>
        <w:adjustRightInd w:val="0"/>
        <w:snapToGrid w:val="0"/>
        <w:spacing w:before="149" w:beforeLines="50" w:line="240" w:lineRule="auto"/>
        <w:ind w:firstLine="504" w:firstLineChars="200"/>
        <w:textAlignment w:val="baseline"/>
        <w:outlineLvl w:val="3"/>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pPr>
      <w:r>
        <w:rPr>
          <w:rFonts w:hint="eastAsia"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（1）物理风险</w:t>
      </w:r>
    </w:p>
    <w:p>
      <w:pPr>
        <w:keepNext w:val="0"/>
        <w:keepLines w:val="0"/>
        <w:pageBreakBefore w:val="0"/>
        <w:widowControl/>
        <w:kinsoku/>
        <w:wordWrap/>
        <w:overflowPunct/>
        <w:topLinePunct w:val="0"/>
        <w:autoSpaceDE w:val="0"/>
        <w:autoSpaceDN w:val="0"/>
        <w:bidi w:val="0"/>
        <w:adjustRightInd w:val="0"/>
        <w:snapToGrid w:val="0"/>
        <w:spacing w:before="149" w:beforeLines="50" w:line="240" w:lineRule="auto"/>
        <w:ind w:firstLine="504" w:firstLineChars="200"/>
        <w:textAlignment w:val="baseline"/>
        <w:outlineLvl w:val="9"/>
        <w:rPr>
          <w:rFonts w:hint="eastAsia" w:ascii="仿宋" w:hAnsi="仿宋" w:eastAsia="仿宋" w:cs="仿宋"/>
          <w:b w:val="0"/>
          <w:bCs/>
          <w:snapToGrid w:val="0"/>
          <w:color w:val="000000" w:themeColor="text1"/>
          <w:spacing w:val="6"/>
          <w:kern w:val="0"/>
          <w:sz w:val="24"/>
          <w:szCs w:val="24"/>
          <w:lang w:val="en-US" w:eastAsia="zh-CN"/>
          <w14:textFill>
            <w14:solidFill>
              <w14:schemeClr w14:val="tx1"/>
            </w14:solidFill>
          </w14:textFill>
        </w:rPr>
      </w:pPr>
      <w:r>
        <w:rPr>
          <w:rFonts w:hint="eastAsia"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在全球气候变化的大背景下，极端天气事件的发生频率和强度呈现显著上升趋势，对人类社会和自然环境造成了多维度的物理风险。本行聚焦于热浪、寒潮、台风三类典型极端天气事件，基于世界气象组织（WMO）、政府间气候变化专门委员会（IPCC）第六次评估报告及各国灾害管理机构的权威数据，进行系统性的物理风险识别与分析。</w:t>
      </w:r>
    </w:p>
    <w:p>
      <w:pPr>
        <w:keepNext w:val="0"/>
        <w:keepLines w:val="0"/>
        <w:pageBreakBefore w:val="0"/>
        <w:widowControl/>
        <w:kinsoku/>
        <w:wordWrap/>
        <w:overflowPunct/>
        <w:topLinePunct w:val="0"/>
        <w:autoSpaceDE w:val="0"/>
        <w:autoSpaceDN w:val="0"/>
        <w:bidi w:val="0"/>
        <w:adjustRightInd w:val="0"/>
        <w:snapToGrid w:val="0"/>
        <w:spacing w:before="149" w:beforeLines="50" w:line="240" w:lineRule="auto"/>
        <w:ind w:firstLine="504" w:firstLineChars="200"/>
        <w:textAlignment w:val="baseline"/>
        <w:outlineLvl w:val="3"/>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pPr>
      <w:r>
        <w:rPr>
          <w:rFonts w:hint="eastAsia"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（2）转型风险</w:t>
      </w:r>
    </w:p>
    <w:p>
      <w:pPr>
        <w:keepNext w:val="0"/>
        <w:keepLines w:val="0"/>
        <w:pageBreakBefore w:val="0"/>
        <w:widowControl/>
        <w:kinsoku/>
        <w:wordWrap/>
        <w:overflowPunct/>
        <w:topLinePunct w:val="0"/>
        <w:autoSpaceDE w:val="0"/>
        <w:autoSpaceDN w:val="0"/>
        <w:bidi w:val="0"/>
        <w:adjustRightInd w:val="0"/>
        <w:snapToGrid w:val="0"/>
        <w:spacing w:before="149" w:beforeLines="50" w:line="240" w:lineRule="auto"/>
        <w:ind w:firstLine="504" w:firstLineChars="200"/>
        <w:textAlignment w:val="baseline"/>
        <w:outlineLvl w:val="9"/>
        <w:rPr>
          <w:rFonts w:hint="eastAsia" w:ascii="仿宋" w:hAnsi="仿宋" w:eastAsia="仿宋" w:cs="仿宋"/>
          <w:b w:val="0"/>
          <w:bCs/>
          <w:snapToGrid w:val="0"/>
          <w:color w:val="000000" w:themeColor="text1"/>
          <w:spacing w:val="6"/>
          <w:kern w:val="0"/>
          <w:sz w:val="24"/>
          <w:szCs w:val="24"/>
          <w:lang w:val="en-US" w:eastAsia="zh-CN"/>
          <w14:textFill>
            <w14:solidFill>
              <w14:schemeClr w14:val="tx1"/>
            </w14:solidFill>
          </w14:textFill>
        </w:rPr>
      </w:pPr>
      <w:r>
        <w:rPr>
          <w:rFonts w:hint="eastAsia"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针对八大高碳行业控排企业碳价格冲击问题，模型参考了政府间气候变化专门委员会（IPCC）采用的碳价格预测模型，采用碳的社会成本由额外排放一吨CO2</w:t>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e</w:t>
      </w:r>
      <w:r>
        <w:rPr>
          <w:rFonts w:hint="eastAsia"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所造成的经济福利损失来衡量碳价格，并将预测价格利用折现法拆分至每期的预测价格。同时，结合国内碳市场的特点对预测的碳价格进行了适应性调整。</w:t>
      </w:r>
    </w:p>
    <w:p>
      <w:pPr>
        <w:pageBreakBefore w:val="0"/>
        <w:widowControl/>
        <w:kinsoku w:val="0"/>
        <w:wordWrap/>
        <w:topLinePunct w:val="0"/>
        <w:autoSpaceDE w:val="0"/>
        <w:autoSpaceDN w:val="0"/>
        <w:bidi w:val="0"/>
        <w:adjustRightInd w:val="0"/>
        <w:snapToGrid w:val="0"/>
        <w:spacing w:before="149" w:beforeLines="50" w:line="240" w:lineRule="auto"/>
        <w:ind w:firstLine="480" w:firstLineChars="200"/>
        <w:textAlignment w:val="baseline"/>
        <w:outlineLvl w:val="2"/>
        <w:rPr>
          <w:rFonts w:hint="eastAsia" w:ascii="微软雅黑" w:hAnsi="微软雅黑" w:eastAsia="微软雅黑" w:cs="微软雅黑"/>
          <w:b w:val="0"/>
          <w:bCs/>
          <w:color w:val="000000" w:themeColor="text1"/>
          <w:kern w:val="2"/>
          <w:sz w:val="24"/>
          <w:szCs w:val="24"/>
          <w:lang w:val="en-US" w:eastAsia="zh-CN" w:bidi="ar-SA"/>
          <w14:textFill>
            <w14:solidFill>
              <w14:schemeClr w14:val="tx1"/>
            </w14:solidFill>
          </w14:textFill>
        </w:rPr>
      </w:pPr>
      <w:r>
        <w:rPr>
          <w:rFonts w:hint="eastAsia" w:ascii="微软雅黑" w:hAnsi="微软雅黑" w:eastAsia="微软雅黑" w:cs="微软雅黑"/>
          <w:b w:val="0"/>
          <w:bCs/>
          <w:color w:val="000000" w:themeColor="text1"/>
          <w:kern w:val="2"/>
          <w:sz w:val="24"/>
          <w:szCs w:val="24"/>
          <w:lang w:val="en-US" w:eastAsia="zh-CN" w:bidi="ar-SA"/>
          <w14:textFill>
            <w14:solidFill>
              <w14:schemeClr w14:val="tx1"/>
            </w14:solidFill>
          </w14:textFill>
        </w:rPr>
        <w:t>5.4.2情景分析</w:t>
      </w:r>
    </w:p>
    <w:p>
      <w:pPr>
        <w:keepNext w:val="0"/>
        <w:keepLines w:val="0"/>
        <w:pageBreakBefore w:val="0"/>
        <w:widowControl/>
        <w:kinsoku/>
        <w:wordWrap/>
        <w:overflowPunct/>
        <w:topLinePunct w:val="0"/>
        <w:autoSpaceDE w:val="0"/>
        <w:autoSpaceDN w:val="0"/>
        <w:bidi w:val="0"/>
        <w:adjustRightInd w:val="0"/>
        <w:snapToGrid w:val="0"/>
        <w:spacing w:before="149" w:beforeLines="50" w:line="240" w:lineRule="auto"/>
        <w:ind w:firstLine="504" w:firstLineChars="200"/>
        <w:textAlignment w:val="baseline"/>
        <w:outlineLvl w:val="9"/>
        <w:rPr>
          <w:rFonts w:hint="eastAsia" w:ascii="仿宋" w:hAnsi="仿宋" w:eastAsia="仿宋" w:cs="仿宋"/>
          <w:b w:val="0"/>
          <w:bCs/>
          <w:snapToGrid w:val="0"/>
          <w:color w:val="000000" w:themeColor="text1"/>
          <w:spacing w:val="6"/>
          <w:kern w:val="0"/>
          <w:sz w:val="24"/>
          <w:szCs w:val="24"/>
          <w:lang w:val="en-US" w:eastAsia="zh-CN"/>
          <w14:textFill>
            <w14:solidFill>
              <w14:schemeClr w14:val="tx1"/>
            </w14:solidFill>
          </w14:textFill>
        </w:rPr>
      </w:pPr>
      <w:r>
        <w:rPr>
          <w:rFonts w:hint="eastAsia"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前瞻性气候风险评估的核心基础，在于构建一个或多个能够合理反映气候、社会与经济关键假设的情景体系。情景设计的核心要素，是以全球温升控制目标或碳排放路径为基本约束条件。在此领域，央行与监管机构绿色金融网络（NGFS）先后发布《金融机构环境风险分析综述》及配套《案例集》，系统总结了情景开发的最新进展，并推出NGFS三大典型情景：一是</w:t>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有序转型情景，即全球协同行动，实现将温升控制在1.5</w:t>
      </w:r>
      <w:r>
        <w:rPr>
          <w:rFonts w:hint="eastAsia"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w:t>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至2</w:t>
      </w:r>
      <w:r>
        <w:rPr>
          <w:rFonts w:hint="eastAsia"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w:t>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以内的目标，转型过程平稳有序；二是无序转型情景，同样以实现温升控制在1.5</w:t>
      </w:r>
      <w:r>
        <w:rPr>
          <w:rFonts w:hint="eastAsia"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w:t>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至2</w:t>
      </w:r>
      <w:r>
        <w:rPr>
          <w:rFonts w:hint="eastAsia"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w:t>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为目标，但因政策延迟或市场突变，转型风险显著加剧，调整成本较高；三是热室世界情景，即各国仅维持现行政策力度，未能有效落实国家自主贡献目标，温升可能超过3</w:t>
      </w:r>
      <w:r>
        <w:rPr>
          <w:rFonts w:hint="eastAsia"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w:t>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，面临严重且持续的气候恶化风险。</w:t>
      </w:r>
    </w:p>
    <w:p>
      <w:pPr>
        <w:keepNext w:val="0"/>
        <w:keepLines w:val="0"/>
        <w:pageBreakBefore w:val="0"/>
        <w:widowControl/>
        <w:kinsoku/>
        <w:wordWrap/>
        <w:overflowPunct/>
        <w:topLinePunct w:val="0"/>
        <w:autoSpaceDE w:val="0"/>
        <w:autoSpaceDN w:val="0"/>
        <w:bidi w:val="0"/>
        <w:adjustRightInd w:val="0"/>
        <w:snapToGrid w:val="0"/>
        <w:spacing w:before="149" w:beforeLines="50" w:line="240" w:lineRule="auto"/>
        <w:ind w:firstLine="504" w:firstLineChars="200"/>
        <w:textAlignment w:val="baseline"/>
        <w:outlineLvl w:val="9"/>
        <w:rPr>
          <w:rFonts w:hint="eastAsia" w:ascii="仿宋" w:hAnsi="仿宋" w:eastAsia="仿宋" w:cs="仿宋"/>
          <w:b w:val="0"/>
          <w:bCs/>
          <w:snapToGrid w:val="0"/>
          <w:color w:val="000000" w:themeColor="text1"/>
          <w:spacing w:val="6"/>
          <w:kern w:val="0"/>
          <w:sz w:val="24"/>
          <w:szCs w:val="24"/>
          <w:lang w:val="en-US" w:eastAsia="zh-CN"/>
          <w14:textFill>
            <w14:solidFill>
              <w14:schemeClr w14:val="tx1"/>
            </w14:solidFill>
          </w14:textFill>
        </w:rPr>
      </w:pP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在全球气候治理与金融体系深度融合的时代背景下，本行秉持前瞻性战略思维，构建气候风险压力测试创新体系，围绕“双碳”目标实现与金融稳定维护两大核心维度开展系统性研究。针对物理风险与转型风险两大关键领域，本行建立了精细化的分析框架：在物理风险层面，创新性地将极端高温、极端低温、台风、干旱、暴雨等五类典型气候灾害，与气温异常波动、台风路径强度变化、蒸发量失衡、降水量骤变等动态监测数据进行深度耦合，构建灾害影响量化传导模型；在转型风险维度，系统剖析能源转型政策冲击、节能降碳技术迭代、碳市场规则重构等核心变量，通过多维度指标体系精准捕捉政策与市场变化对金融资产的潜在影响。</w:t>
      </w:r>
    </w:p>
    <w:p>
      <w:pPr>
        <w:keepNext w:val="0"/>
        <w:keepLines w:val="0"/>
        <w:pageBreakBefore w:val="0"/>
        <w:widowControl/>
        <w:kinsoku/>
        <w:wordWrap/>
        <w:overflowPunct/>
        <w:topLinePunct w:val="0"/>
        <w:autoSpaceDE w:val="0"/>
        <w:autoSpaceDN w:val="0"/>
        <w:bidi w:val="0"/>
        <w:adjustRightInd w:val="0"/>
        <w:snapToGrid w:val="0"/>
        <w:spacing w:before="149" w:beforeLines="50" w:line="240" w:lineRule="auto"/>
        <w:ind w:firstLine="504" w:firstLineChars="200"/>
        <w:textAlignment w:val="baseline"/>
        <w:outlineLvl w:val="9"/>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pP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本行启动高碳行业气候风险压力测试专项工作，以高精度气候数据为基础，结合企业碳排放微观数据，选取本行重点支持的高碳行业作为研究样本，运用前沿风险评估模型与计量方法，深入探究气候风险在行业内部及金融系统间的传导路径。此项研究不仅是对传统压力测试范式的突破，更为金融机构应对气候风险提供可复制、可推广的创新实践范例。通过该项研究，本行致力于推动金融资源向低碳可持续领域高效配置，实现金融服务与气候治理的协同发展。</w:t>
      </w:r>
    </w:p>
    <w:p>
      <w:pPr>
        <w:keepNext w:val="0"/>
        <w:keepLines w:val="0"/>
        <w:pageBreakBefore w:val="0"/>
        <w:widowControl/>
        <w:kinsoku/>
        <w:wordWrap/>
        <w:overflowPunct/>
        <w:topLinePunct w:val="0"/>
        <w:autoSpaceDE w:val="0"/>
        <w:autoSpaceDN w:val="0"/>
        <w:bidi w:val="0"/>
        <w:adjustRightInd w:val="0"/>
        <w:snapToGrid w:val="0"/>
        <w:spacing w:before="149" w:beforeLines="50" w:line="240" w:lineRule="auto"/>
        <w:ind w:firstLine="504" w:firstLineChars="200"/>
        <w:textAlignment w:val="baseline"/>
        <w:outlineLvl w:val="3"/>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pPr>
      <w:r>
        <w:rPr>
          <w:rFonts w:hint="eastAsia"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（1）</w:t>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物理风险情景分析</w:t>
      </w:r>
    </w:p>
    <w:p>
      <w:pPr>
        <w:keepNext w:val="0"/>
        <w:keepLines w:val="0"/>
        <w:pageBreakBefore w:val="0"/>
        <w:widowControl/>
        <w:kinsoku/>
        <w:wordWrap/>
        <w:overflowPunct/>
        <w:topLinePunct w:val="0"/>
        <w:autoSpaceDE w:val="0"/>
        <w:autoSpaceDN w:val="0"/>
        <w:bidi w:val="0"/>
        <w:adjustRightInd w:val="0"/>
        <w:snapToGrid w:val="0"/>
        <w:spacing w:before="217" w:beforeLines="50" w:line="240" w:lineRule="auto"/>
        <w:ind w:firstLine="504"/>
        <w:textAlignment w:val="baseline"/>
        <w:rPr>
          <w:rFonts w:hint="eastAsia" w:ascii="仿宋" w:hAnsi="仿宋" w:eastAsia="仿宋" w:cs="仿宋"/>
          <w:b w:val="0"/>
          <w:bCs w:val="0"/>
          <w:color w:val="000000" w:themeColor="text1"/>
          <w:spacing w:val="6"/>
          <w:sz w:val="24"/>
          <w:highlight w:val="none"/>
          <w:lang w:val="en-US" w:eastAsia="zh-CN"/>
          <w14:textFill>
            <w14:solidFill>
              <w14:schemeClr w14:val="tx1"/>
            </w14:solidFill>
          </w14:textFill>
        </w:rPr>
      </w:pP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在物理风险情景下，本行依托外部专业研究机构提供的气候预测数据与耦合模型，预测未来急性与慢性气象灾害对重点地区、重点行业资产质量的潜在影响。基于热浪、寒潮、台风等急性气象灾害的发生频率与强度变化趋势，结合农业、渔业等物理风险敏感性资产的地理坐标分布，本行开发了物</w:t>
      </w:r>
      <w:r>
        <w:rPr>
          <w:rFonts w:hint="default" w:ascii="仿宋" w:hAnsi="仿宋" w:eastAsia="仿宋" w:cs="仿宋"/>
          <w:b w:val="0"/>
          <w:bCs w:val="0"/>
          <w:color w:val="000000" w:themeColor="text1"/>
          <w:spacing w:val="6"/>
          <w:sz w:val="24"/>
          <w:highlight w:val="none"/>
          <w:lang w:val="en-US" w:eastAsia="zh-CN"/>
          <w14:textFill>
            <w14:solidFill>
              <w14:schemeClr w14:val="tx1"/>
            </w14:solidFill>
          </w14:textFill>
        </w:rPr>
        <w:t>理风险预警模型，实现对灾害影响的空间化、定量化评估。情景分析结果显示，相关物理风险对本行资产质量的整体影响有限</w:t>
      </w:r>
      <w:r>
        <w:rPr>
          <w:rFonts w:hint="eastAsia" w:ascii="仿宋" w:hAnsi="仿宋" w:eastAsia="仿宋" w:cs="仿宋"/>
          <w:b w:val="0"/>
          <w:bCs w:val="0"/>
          <w:color w:val="000000" w:themeColor="text1"/>
          <w:spacing w:val="6"/>
          <w:sz w:val="24"/>
          <w:highlight w:val="none"/>
          <w:lang w:val="en-US" w:eastAsia="zh-CN"/>
          <w14:textFill>
            <w14:solidFill>
              <w14:schemeClr w14:val="tx1"/>
            </w14:solidFill>
          </w14:textFill>
        </w:rPr>
        <w:t>。</w:t>
      </w:r>
    </w:p>
    <w:p>
      <w:pPr>
        <w:keepNext w:val="0"/>
        <w:keepLines w:val="0"/>
        <w:pageBreakBefore w:val="0"/>
        <w:widowControl/>
        <w:kinsoku/>
        <w:wordWrap/>
        <w:overflowPunct/>
        <w:topLinePunct w:val="0"/>
        <w:autoSpaceDE w:val="0"/>
        <w:autoSpaceDN w:val="0"/>
        <w:bidi w:val="0"/>
        <w:adjustRightInd w:val="0"/>
        <w:snapToGrid w:val="0"/>
        <w:spacing w:before="217" w:beforeLines="50" w:line="240" w:lineRule="auto"/>
        <w:ind w:firstLine="504" w:firstLineChars="200"/>
        <w:textAlignment w:val="baseline"/>
        <w:outlineLvl w:val="3"/>
        <w:rPr>
          <w:rFonts w:hint="default" w:ascii="仿宋" w:hAnsi="仿宋" w:eastAsia="仿宋" w:cs="仿宋"/>
          <w:b w:val="0"/>
          <w:bCs w:val="0"/>
          <w:color w:val="000000" w:themeColor="text1"/>
          <w:spacing w:val="6"/>
          <w:sz w:val="24"/>
          <w:highlight w:val="none"/>
          <w:lang w:val="en-US" w:eastAsia="zh-CN"/>
          <w14:textFill>
            <w14:solidFill>
              <w14:schemeClr w14:val="tx1"/>
            </w14:solidFill>
          </w14:textFill>
        </w:rPr>
      </w:pPr>
      <w:r>
        <w:rPr>
          <w:rFonts w:hint="eastAsia" w:ascii="仿宋" w:hAnsi="仿宋" w:eastAsia="仿宋" w:cs="仿宋"/>
          <w:b w:val="0"/>
          <w:bCs w:val="0"/>
          <w:color w:val="000000" w:themeColor="text1"/>
          <w:spacing w:val="6"/>
          <w:sz w:val="24"/>
          <w:highlight w:val="none"/>
          <w:lang w:val="en-US" w:eastAsia="zh-CN"/>
          <w14:textFill>
            <w14:solidFill>
              <w14:schemeClr w14:val="tx1"/>
            </w14:solidFill>
          </w14:textFill>
        </w:rPr>
        <w:t>（2）转型</w:t>
      </w:r>
      <w:r>
        <w:rPr>
          <w:rFonts w:hint="default" w:ascii="仿宋" w:hAnsi="仿宋" w:eastAsia="仿宋" w:cs="仿宋"/>
          <w:b w:val="0"/>
          <w:bCs w:val="0"/>
          <w:color w:val="000000" w:themeColor="text1"/>
          <w:spacing w:val="6"/>
          <w:sz w:val="24"/>
          <w:highlight w:val="none"/>
          <w:lang w:val="en-US" w:eastAsia="zh-CN"/>
          <w14:textFill>
            <w14:solidFill>
              <w14:schemeClr w14:val="tx1"/>
            </w14:solidFill>
          </w14:textFill>
        </w:rPr>
        <w:t>风险情景分析</w:t>
      </w:r>
    </w:p>
    <w:p>
      <w:pPr>
        <w:keepNext w:val="0"/>
        <w:keepLines w:val="0"/>
        <w:pageBreakBefore w:val="0"/>
        <w:widowControl/>
        <w:kinsoku/>
        <w:wordWrap/>
        <w:overflowPunct/>
        <w:topLinePunct w:val="0"/>
        <w:autoSpaceDE w:val="0"/>
        <w:autoSpaceDN w:val="0"/>
        <w:bidi w:val="0"/>
        <w:adjustRightInd w:val="0"/>
        <w:snapToGrid w:val="0"/>
        <w:spacing w:before="217" w:beforeLines="50" w:line="240" w:lineRule="auto"/>
        <w:ind w:firstLine="504"/>
        <w:textAlignment w:val="baseline"/>
        <w:rPr>
          <w:rFonts w:hint="eastAsia" w:ascii="仿宋" w:hAnsi="仿宋" w:eastAsia="仿宋" w:cs="仿宋"/>
          <w:b w:val="0"/>
          <w:bCs w:val="0"/>
          <w:color w:val="000000" w:themeColor="text1"/>
          <w:spacing w:val="6"/>
          <w:sz w:val="24"/>
          <w:highlight w:val="none"/>
          <w:lang w:val="en-US" w:eastAsia="zh-CN"/>
          <w14:textFill>
            <w14:solidFill>
              <w14:schemeClr w14:val="tx1"/>
            </w14:solidFill>
          </w14:textFill>
        </w:rPr>
      </w:pPr>
      <w:r>
        <w:rPr>
          <w:rFonts w:hint="default" w:ascii="仿宋" w:hAnsi="仿宋" w:eastAsia="仿宋" w:cs="仿宋"/>
          <w:b w:val="0"/>
          <w:bCs w:val="0"/>
          <w:color w:val="000000" w:themeColor="text1"/>
          <w:spacing w:val="6"/>
          <w:sz w:val="24"/>
          <w:highlight w:val="none"/>
          <w:lang w:val="en-US" w:eastAsia="zh-CN"/>
          <w14:textFill>
            <w14:solidFill>
              <w14:schemeClr w14:val="tx1"/>
            </w14:solidFill>
          </w14:textFill>
        </w:rPr>
        <w:t>在转型风险情景下，本行基于能源政策模拟情景模型，针对企业客户在碳价冲击下的财务韧性开展压力测试。模型模拟了未来不同碳价路径下，企业营业收入、能源成本、碳排放成本、固定资产投资及资产减值等关键指标的变化趋势，并在此基础上量化评估企业违约概率、行业贷款预期损失及银行贷款预期损失率，进而综合研判相关情景下本行稳健运营的可持续性。测试结果表明，高碳行业转型风险对本行的整体影响有限，本行具备较强的风险抵御能力</w:t>
      </w:r>
      <w:r>
        <w:rPr>
          <w:rFonts w:hint="eastAsia" w:ascii="仿宋" w:hAnsi="仿宋" w:eastAsia="仿宋" w:cs="仿宋"/>
          <w:b w:val="0"/>
          <w:bCs w:val="0"/>
          <w:color w:val="000000" w:themeColor="text1"/>
          <w:spacing w:val="6"/>
          <w:sz w:val="24"/>
          <w:highlight w:val="none"/>
          <w:lang w:val="en-US" w:eastAsia="zh-CN"/>
          <w14:textFill>
            <w14:solidFill>
              <w14:schemeClr w14:val="tx1"/>
            </w14:solidFill>
          </w14:textFill>
        </w:rPr>
        <w:t>。</w:t>
      </w:r>
    </w:p>
    <w:p>
      <w:pPr>
        <w:pStyle w:val="2"/>
        <w:keepNext w:val="0"/>
        <w:keepLines w:val="0"/>
        <w:pageBreakBefore w:val="0"/>
        <w:widowControl w:val="0"/>
        <w:kinsoku/>
        <w:wordWrap/>
        <w:overflowPunct/>
        <w:topLinePunct w:val="0"/>
        <w:autoSpaceDE/>
        <w:autoSpaceDN/>
        <w:bidi w:val="0"/>
        <w:adjustRightInd/>
        <w:snapToGrid/>
        <w:spacing w:after="0" w:line="240" w:lineRule="auto"/>
        <w:textAlignment w:val="auto"/>
        <w:rPr>
          <w:rFonts w:hint="eastAsia" w:ascii="仿宋" w:hAnsi="仿宋" w:eastAsia="仿宋" w:cs="仿宋"/>
          <w:b w:val="0"/>
          <w:bCs/>
          <w:snapToGrid w:val="0"/>
          <w:color w:val="auto"/>
          <w:spacing w:val="6"/>
          <w:kern w:val="0"/>
          <w:sz w:val="18"/>
          <w:szCs w:val="18"/>
          <w:lang w:val="en-US" w:eastAsia="zh-CN" w:bidi="ar-SA"/>
        </w:rPr>
      </w:pPr>
      <w:bookmarkStart w:id="23" w:name="_Toc13504"/>
    </w:p>
    <w:p>
      <w:pPr>
        <w:keepNext w:val="0"/>
        <w:keepLines w:val="0"/>
        <w:pageBreakBefore w:val="0"/>
        <w:widowControl/>
        <w:numPr>
          <w:ilvl w:val="0"/>
          <w:numId w:val="0"/>
        </w:numPr>
        <w:kinsoku/>
        <w:wordWrap/>
        <w:overflowPunct/>
        <w:topLinePunct w:val="0"/>
        <w:autoSpaceDE w:val="0"/>
        <w:autoSpaceDN w:val="0"/>
        <w:bidi w:val="0"/>
        <w:adjustRightInd w:val="0"/>
        <w:snapToGrid w:val="0"/>
        <w:spacing w:before="149" w:beforeLines="50" w:line="240" w:lineRule="auto"/>
        <w:ind w:left="0" w:leftChars="0" w:firstLine="0" w:firstLineChars="0"/>
        <w:textAlignment w:val="baseline"/>
        <w:outlineLvl w:val="0"/>
        <w:rPr>
          <w:rFonts w:hint="eastAsia" w:ascii="微软雅黑" w:hAnsi="微软雅黑" w:eastAsia="微软雅黑" w:cs="微软雅黑"/>
          <w:b w:val="0"/>
          <w:bCs/>
          <w:color w:val="000000" w:themeColor="text1"/>
          <w:kern w:val="2"/>
          <w:sz w:val="28"/>
          <w:szCs w:val="28"/>
          <w:lang w:val="en-US" w:eastAsia="zh-CN" w:bidi="ar-SA"/>
          <w14:textFill>
            <w14:solidFill>
              <w14:schemeClr w14:val="tx1"/>
            </w14:solidFill>
          </w14:textFill>
        </w:rPr>
      </w:pPr>
      <w:r>
        <w:rPr>
          <w:rFonts w:hint="eastAsia" w:ascii="微软雅黑" w:hAnsi="微软雅黑" w:eastAsia="微软雅黑" w:cs="微软雅黑"/>
          <w:b w:val="0"/>
          <w:bCs/>
          <w:color w:val="000000" w:themeColor="text1"/>
          <w:kern w:val="2"/>
          <w:sz w:val="28"/>
          <w:szCs w:val="28"/>
          <w:lang w:val="en-US" w:eastAsia="zh-CN" w:bidi="ar-SA"/>
          <w14:textFill>
            <w14:solidFill>
              <w14:schemeClr w14:val="tx1"/>
            </w14:solidFill>
          </w14:textFill>
        </w:rPr>
        <w:t>5.5 利益相关方环境议题管理</w:t>
      </w:r>
      <w:bookmarkEnd w:id="23"/>
    </w:p>
    <w:p>
      <w:pPr>
        <w:pageBreakBefore w:val="0"/>
        <w:widowControl/>
        <w:kinsoku w:val="0"/>
        <w:wordWrap/>
        <w:topLinePunct w:val="0"/>
        <w:autoSpaceDE w:val="0"/>
        <w:autoSpaceDN w:val="0"/>
        <w:bidi w:val="0"/>
        <w:adjustRightInd w:val="0"/>
        <w:snapToGrid w:val="0"/>
        <w:spacing w:before="149" w:beforeLines="50" w:line="240" w:lineRule="auto"/>
        <w:ind w:firstLine="480" w:firstLineChars="200"/>
        <w:textAlignment w:val="baseline"/>
        <w:outlineLvl w:val="2"/>
        <w:rPr>
          <w:rFonts w:hint="default" w:ascii="微软雅黑" w:hAnsi="微软雅黑" w:eastAsia="微软雅黑" w:cs="微软雅黑"/>
          <w:b w:val="0"/>
          <w:bCs/>
          <w:color w:val="000000" w:themeColor="text1"/>
          <w:kern w:val="2"/>
          <w:sz w:val="24"/>
          <w:szCs w:val="24"/>
          <w:lang w:val="en-US" w:eastAsia="zh-CN" w:bidi="ar-SA"/>
          <w14:textFill>
            <w14:solidFill>
              <w14:schemeClr w14:val="tx1"/>
            </w14:solidFill>
          </w14:textFill>
        </w:rPr>
      </w:pPr>
      <w:r>
        <w:rPr>
          <w:rFonts w:hint="eastAsia" w:ascii="微软雅黑" w:hAnsi="微软雅黑" w:eastAsia="微软雅黑" w:cs="微软雅黑"/>
          <w:b w:val="0"/>
          <w:bCs/>
          <w:color w:val="000000" w:themeColor="text1"/>
          <w:kern w:val="2"/>
          <w:sz w:val="24"/>
          <w:szCs w:val="24"/>
          <w:lang w:val="en-US" w:eastAsia="zh-CN" w:bidi="ar-SA"/>
          <w14:textFill>
            <w14:solidFill>
              <w14:schemeClr w14:val="tx1"/>
            </w14:solidFill>
          </w14:textFill>
        </w:rPr>
        <w:t>5.5.1</w:t>
      </w:r>
      <w:r>
        <w:rPr>
          <w:rFonts w:hint="default" w:ascii="微软雅黑" w:hAnsi="微软雅黑" w:eastAsia="微软雅黑" w:cs="微软雅黑"/>
          <w:b w:val="0"/>
          <w:bCs/>
          <w:color w:val="000000" w:themeColor="text1"/>
          <w:kern w:val="2"/>
          <w:sz w:val="24"/>
          <w:szCs w:val="24"/>
          <w:lang w:val="en-US" w:eastAsia="zh-CN" w:bidi="ar-SA"/>
          <w14:textFill>
            <w14:solidFill>
              <w14:schemeClr w14:val="tx1"/>
            </w14:solidFill>
          </w14:textFill>
        </w:rPr>
        <w:t>环境重大议题识别机制</w:t>
      </w:r>
    </w:p>
    <w:p>
      <w:pPr>
        <w:keepNext w:val="0"/>
        <w:keepLines w:val="0"/>
        <w:pageBreakBefore w:val="0"/>
        <w:widowControl/>
        <w:kinsoku/>
        <w:wordWrap/>
        <w:overflowPunct/>
        <w:topLinePunct w:val="0"/>
        <w:autoSpaceDE w:val="0"/>
        <w:autoSpaceDN w:val="0"/>
        <w:bidi w:val="0"/>
        <w:adjustRightInd w:val="0"/>
        <w:snapToGrid w:val="0"/>
        <w:spacing w:before="217" w:beforeLines="50" w:line="240" w:lineRule="auto"/>
        <w:ind w:firstLine="504"/>
        <w:textAlignment w:val="baseline"/>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pP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本行识别机制的核心是通过持续、有效的沟通，精准捕捉各方关注。</w:t>
      </w:r>
    </w:p>
    <w:p>
      <w:pPr>
        <w:keepNext w:val="0"/>
        <w:keepLines w:val="0"/>
        <w:pageBreakBefore w:val="0"/>
        <w:widowControl/>
        <w:kinsoku/>
        <w:wordWrap/>
        <w:overflowPunct/>
        <w:topLinePunct w:val="0"/>
        <w:autoSpaceDE w:val="0"/>
        <w:autoSpaceDN w:val="0"/>
        <w:bidi w:val="0"/>
        <w:adjustRightInd w:val="0"/>
        <w:snapToGrid w:val="0"/>
        <w:spacing w:before="217" w:beforeLines="50" w:line="240" w:lineRule="auto"/>
        <w:ind w:firstLine="504"/>
        <w:textAlignment w:val="baseline"/>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pP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多元化沟通渠道：本行针对不同利益相关方，设立了多元化的沟通与反馈渠道：</w:t>
      </w:r>
    </w:p>
    <w:p>
      <w:pPr>
        <w:keepNext w:val="0"/>
        <w:keepLines w:val="0"/>
        <w:pageBreakBefore w:val="0"/>
        <w:widowControl/>
        <w:kinsoku/>
        <w:wordWrap/>
        <w:overflowPunct/>
        <w:topLinePunct w:val="0"/>
        <w:autoSpaceDE w:val="0"/>
        <w:autoSpaceDN w:val="0"/>
        <w:bidi w:val="0"/>
        <w:adjustRightInd w:val="0"/>
        <w:snapToGrid w:val="0"/>
        <w:spacing w:before="217" w:beforeLines="50" w:line="240" w:lineRule="auto"/>
        <w:ind w:firstLine="504"/>
        <w:textAlignment w:val="baseline"/>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pPr>
      <w:r>
        <w:rPr>
          <w:rFonts w:hint="eastAsia"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（1）</w:t>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股东/投资者：通过股东大会、定期报告、业绩说明会等形式。</w:t>
      </w:r>
    </w:p>
    <w:p>
      <w:pPr>
        <w:keepNext w:val="0"/>
        <w:keepLines w:val="0"/>
        <w:pageBreakBefore w:val="0"/>
        <w:widowControl/>
        <w:kinsoku/>
        <w:wordWrap/>
        <w:overflowPunct/>
        <w:topLinePunct w:val="0"/>
        <w:autoSpaceDE w:val="0"/>
        <w:autoSpaceDN w:val="0"/>
        <w:bidi w:val="0"/>
        <w:adjustRightInd w:val="0"/>
        <w:snapToGrid w:val="0"/>
        <w:spacing w:before="217" w:beforeLines="50" w:line="240" w:lineRule="auto"/>
        <w:ind w:firstLine="504"/>
        <w:textAlignment w:val="baseline"/>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pPr>
      <w:r>
        <w:rPr>
          <w:rFonts w:hint="eastAsia"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（2）</w:t>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客户：通过客户满意度调查、座谈会、服务热线等渠道收集反馈。</w:t>
      </w:r>
    </w:p>
    <w:p>
      <w:pPr>
        <w:keepNext w:val="0"/>
        <w:keepLines w:val="0"/>
        <w:pageBreakBefore w:val="0"/>
        <w:widowControl/>
        <w:kinsoku/>
        <w:wordWrap/>
        <w:overflowPunct/>
        <w:topLinePunct w:val="0"/>
        <w:autoSpaceDE w:val="0"/>
        <w:autoSpaceDN w:val="0"/>
        <w:bidi w:val="0"/>
        <w:adjustRightInd w:val="0"/>
        <w:snapToGrid w:val="0"/>
        <w:spacing w:before="217" w:beforeLines="50" w:line="240" w:lineRule="auto"/>
        <w:ind w:firstLine="504"/>
        <w:textAlignment w:val="baseline"/>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pPr>
      <w:r>
        <w:rPr>
          <w:rFonts w:hint="eastAsia"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（3）</w:t>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监管机构：通过定期汇报、参与会议、配合检查等方式。</w:t>
      </w:r>
    </w:p>
    <w:p>
      <w:pPr>
        <w:keepNext w:val="0"/>
        <w:keepLines w:val="0"/>
        <w:pageBreakBefore w:val="0"/>
        <w:widowControl/>
        <w:kinsoku/>
        <w:wordWrap/>
        <w:overflowPunct/>
        <w:topLinePunct w:val="0"/>
        <w:autoSpaceDE w:val="0"/>
        <w:autoSpaceDN w:val="0"/>
        <w:bidi w:val="0"/>
        <w:adjustRightInd w:val="0"/>
        <w:snapToGrid w:val="0"/>
        <w:spacing w:before="217" w:beforeLines="50" w:line="240" w:lineRule="auto"/>
        <w:ind w:firstLine="504"/>
        <w:textAlignment w:val="baseline"/>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pPr>
      <w:r>
        <w:rPr>
          <w:rFonts w:hint="eastAsia"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（4）</w:t>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员工：通过职工代表大会、内部邮件、意见箱等内部平台。</w:t>
      </w:r>
    </w:p>
    <w:p>
      <w:pPr>
        <w:keepNext w:val="0"/>
        <w:keepLines w:val="0"/>
        <w:pageBreakBefore w:val="0"/>
        <w:widowControl/>
        <w:kinsoku/>
        <w:wordWrap/>
        <w:overflowPunct/>
        <w:topLinePunct w:val="0"/>
        <w:autoSpaceDE w:val="0"/>
        <w:autoSpaceDN w:val="0"/>
        <w:bidi w:val="0"/>
        <w:adjustRightInd w:val="0"/>
        <w:snapToGrid w:val="0"/>
        <w:spacing w:before="217" w:beforeLines="50" w:line="240" w:lineRule="auto"/>
        <w:ind w:firstLine="504"/>
        <w:textAlignment w:val="baseline"/>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pPr>
      <w:r>
        <w:rPr>
          <w:rFonts w:hint="eastAsia"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（5）</w:t>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社区/公众：通过公益活动、社区走访、官网信息披露等方式。</w:t>
      </w:r>
    </w:p>
    <w:p>
      <w:pPr>
        <w:keepNext w:val="0"/>
        <w:keepLines w:val="0"/>
        <w:pageBreakBefore w:val="0"/>
        <w:widowControl/>
        <w:kinsoku/>
        <w:wordWrap/>
        <w:overflowPunct/>
        <w:topLinePunct w:val="0"/>
        <w:autoSpaceDE w:val="0"/>
        <w:autoSpaceDN w:val="0"/>
        <w:bidi w:val="0"/>
        <w:adjustRightInd w:val="0"/>
        <w:snapToGrid w:val="0"/>
        <w:spacing w:before="217" w:beforeLines="50" w:line="240" w:lineRule="auto"/>
        <w:ind w:firstLine="504"/>
        <w:textAlignment w:val="baseline"/>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pP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实质性议题分析：通过在线问卷、线下座谈会等方式收集信息后，本行依据“双重重要性”原则，从“对本行经营管理的影响”和“对利益相关方的重要性”两个维度，对环境议题进行识别与排序，筛选出对双方均具有重大意义的议题。</w:t>
      </w:r>
    </w:p>
    <w:p>
      <w:pPr>
        <w:keepNext w:val="0"/>
        <w:keepLines w:val="0"/>
        <w:pageBreakBefore w:val="0"/>
        <w:widowControl/>
        <w:kinsoku/>
        <w:wordWrap/>
        <w:overflowPunct/>
        <w:topLinePunct w:val="0"/>
        <w:autoSpaceDE w:val="0"/>
        <w:autoSpaceDN w:val="0"/>
        <w:bidi w:val="0"/>
        <w:adjustRightInd w:val="0"/>
        <w:snapToGrid w:val="0"/>
        <w:spacing w:before="217" w:beforeLines="50" w:line="240" w:lineRule="auto"/>
        <w:ind w:firstLine="504"/>
        <w:textAlignment w:val="baseline"/>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pP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动态更新机制：本行持续关注国内外政策趋势及评级机构关注重点，定期审视和更新议题清单，确保其时效性和相关性。</w:t>
      </w:r>
    </w:p>
    <w:p>
      <w:pPr>
        <w:pageBreakBefore w:val="0"/>
        <w:widowControl/>
        <w:kinsoku w:val="0"/>
        <w:wordWrap/>
        <w:topLinePunct w:val="0"/>
        <w:autoSpaceDE w:val="0"/>
        <w:autoSpaceDN w:val="0"/>
        <w:bidi w:val="0"/>
        <w:adjustRightInd w:val="0"/>
        <w:snapToGrid w:val="0"/>
        <w:spacing w:before="149" w:beforeLines="50" w:line="240" w:lineRule="auto"/>
        <w:ind w:firstLine="480" w:firstLineChars="200"/>
        <w:textAlignment w:val="baseline"/>
        <w:outlineLvl w:val="2"/>
        <w:rPr>
          <w:rFonts w:hint="default" w:ascii="微软雅黑" w:hAnsi="微软雅黑" w:eastAsia="微软雅黑" w:cs="微软雅黑"/>
          <w:b w:val="0"/>
          <w:bCs/>
          <w:color w:val="000000" w:themeColor="text1"/>
          <w:kern w:val="2"/>
          <w:sz w:val="24"/>
          <w:szCs w:val="24"/>
          <w:lang w:val="en-US" w:eastAsia="zh-CN" w:bidi="ar-SA"/>
          <w14:textFill>
            <w14:solidFill>
              <w14:schemeClr w14:val="tx1"/>
            </w14:solidFill>
          </w14:textFill>
        </w:rPr>
      </w:pPr>
      <w:r>
        <w:rPr>
          <w:rFonts w:hint="eastAsia" w:ascii="微软雅黑" w:hAnsi="微软雅黑" w:eastAsia="微软雅黑" w:cs="微软雅黑"/>
          <w:b w:val="0"/>
          <w:bCs/>
          <w:color w:val="000000" w:themeColor="text1"/>
          <w:kern w:val="2"/>
          <w:sz w:val="24"/>
          <w:szCs w:val="24"/>
          <w:lang w:val="en-US" w:eastAsia="zh-CN" w:bidi="ar-SA"/>
          <w14:textFill>
            <w14:solidFill>
              <w14:schemeClr w14:val="tx1"/>
            </w14:solidFill>
          </w14:textFill>
        </w:rPr>
        <w:t>5.5.2</w:t>
      </w:r>
      <w:r>
        <w:rPr>
          <w:rFonts w:hint="default" w:ascii="微软雅黑" w:hAnsi="微软雅黑" w:eastAsia="微软雅黑" w:cs="微软雅黑"/>
          <w:b w:val="0"/>
          <w:bCs/>
          <w:color w:val="000000" w:themeColor="text1"/>
          <w:kern w:val="2"/>
          <w:sz w:val="24"/>
          <w:szCs w:val="24"/>
          <w:lang w:val="en-US" w:eastAsia="zh-CN" w:bidi="ar-SA"/>
          <w14:textFill>
            <w14:solidFill>
              <w14:schemeClr w14:val="tx1"/>
            </w14:solidFill>
          </w14:textFill>
        </w:rPr>
        <w:t>环境议题管理方针</w:t>
      </w:r>
    </w:p>
    <w:p>
      <w:pPr>
        <w:keepNext w:val="0"/>
        <w:keepLines w:val="0"/>
        <w:pageBreakBefore w:val="0"/>
        <w:widowControl/>
        <w:kinsoku/>
        <w:wordWrap/>
        <w:overflowPunct/>
        <w:topLinePunct w:val="0"/>
        <w:autoSpaceDE w:val="0"/>
        <w:autoSpaceDN w:val="0"/>
        <w:bidi w:val="0"/>
        <w:adjustRightInd w:val="0"/>
        <w:snapToGrid w:val="0"/>
        <w:spacing w:before="217" w:beforeLines="50" w:line="240" w:lineRule="auto"/>
        <w:ind w:firstLine="504"/>
        <w:textAlignment w:val="baseline"/>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pP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本行已形成一套自上而下、覆盖全面的环境议题管理方针。</w:t>
      </w:r>
    </w:p>
    <w:p>
      <w:pPr>
        <w:keepNext w:val="0"/>
        <w:keepLines w:val="0"/>
        <w:pageBreakBefore w:val="0"/>
        <w:widowControl/>
        <w:kinsoku/>
        <w:wordWrap/>
        <w:overflowPunct/>
        <w:topLinePunct w:val="0"/>
        <w:autoSpaceDE w:val="0"/>
        <w:autoSpaceDN w:val="0"/>
        <w:bidi w:val="0"/>
        <w:adjustRightInd w:val="0"/>
        <w:snapToGrid w:val="0"/>
        <w:spacing w:before="217" w:beforeLines="50" w:line="240" w:lineRule="auto"/>
        <w:ind w:firstLine="504"/>
        <w:textAlignment w:val="baseline"/>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pPr>
      <w:r>
        <w:rPr>
          <w:rFonts w:hint="eastAsia" w:ascii="仿宋" w:hAnsi="仿宋" w:eastAsia="仿宋" w:cs="仿宋"/>
          <w:b w:val="0"/>
          <w:bCs/>
          <w:snapToGrid w:val="0"/>
          <w:color w:val="auto"/>
          <w:spacing w:val="6"/>
          <w:kern w:val="0"/>
          <w:sz w:val="24"/>
          <w:szCs w:val="24"/>
          <w:highlight w:val="none"/>
          <w:lang w:eastAsia="zh-CN"/>
        </w:rPr>
        <w:t>（</w:t>
      </w:r>
      <w:r>
        <w:rPr>
          <w:rFonts w:hint="eastAsia" w:ascii="仿宋" w:hAnsi="仿宋" w:eastAsia="仿宋" w:cs="仿宋"/>
          <w:b w:val="0"/>
          <w:bCs/>
          <w:snapToGrid w:val="0"/>
          <w:color w:val="auto"/>
          <w:spacing w:val="6"/>
          <w:kern w:val="0"/>
          <w:sz w:val="24"/>
          <w:szCs w:val="24"/>
          <w:highlight w:val="none"/>
          <w:lang w:val="en-US" w:eastAsia="zh-CN"/>
        </w:rPr>
        <w:t>1</w:t>
      </w:r>
      <w:r>
        <w:rPr>
          <w:rFonts w:hint="eastAsia" w:ascii="仿宋" w:hAnsi="仿宋" w:eastAsia="仿宋" w:cs="仿宋"/>
          <w:b w:val="0"/>
          <w:bCs/>
          <w:snapToGrid w:val="0"/>
          <w:color w:val="auto"/>
          <w:spacing w:val="6"/>
          <w:kern w:val="0"/>
          <w:sz w:val="24"/>
          <w:szCs w:val="24"/>
          <w:highlight w:val="none"/>
          <w:lang w:eastAsia="zh-CN"/>
        </w:rPr>
        <w:t>）</w:t>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战略引领：将绿色金融发展提升至战略高度，制定并实施《绿色金融发展三年规划》</w:t>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begin"/>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instrText xml:space="preserve"> HYPERLINK "http://www.yznsh.net/yzrcb/625632/625752/1175480/2024101016571940314.docx" \l "3#1" \t "https://chat.deepseek.com/a/chat/s/_blank" </w:instrText>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separate"/>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end"/>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begin"/>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instrText xml:space="preserve"> HYPERLINK "http://www.yznsh.net/yzrcb/625632/625752/1175480/2024101016571940314.docx" \l "3#2" \t "https://chat.deepseek.com/a/chat/s/_blank" </w:instrText>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separate"/>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end"/>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，明确绿色信贷增速等核心目标</w:t>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begin"/>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instrText xml:space="preserve"> HYPERLINK "http://www.yznsh.net/yzrcb/625632/625752/1175480/2024101016571940314.docx" \l "3#1" \t "https://chat.deepseek.com/a/chat/s/_blank" </w:instrText>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separate"/>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end"/>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w:t>
      </w:r>
    </w:p>
    <w:p>
      <w:pPr>
        <w:keepNext w:val="0"/>
        <w:keepLines w:val="0"/>
        <w:pageBreakBefore w:val="0"/>
        <w:widowControl/>
        <w:kinsoku/>
        <w:wordWrap/>
        <w:overflowPunct/>
        <w:topLinePunct w:val="0"/>
        <w:autoSpaceDE w:val="0"/>
        <w:autoSpaceDN w:val="0"/>
        <w:bidi w:val="0"/>
        <w:adjustRightInd w:val="0"/>
        <w:snapToGrid w:val="0"/>
        <w:spacing w:before="217" w:beforeLines="50" w:line="240" w:lineRule="auto"/>
        <w:ind w:firstLine="504"/>
        <w:textAlignment w:val="baseline"/>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pPr>
      <w:r>
        <w:rPr>
          <w:rFonts w:hint="eastAsia" w:ascii="仿宋" w:hAnsi="仿宋" w:eastAsia="仿宋" w:cs="仿宋"/>
          <w:b w:val="0"/>
          <w:bCs/>
          <w:snapToGrid w:val="0"/>
          <w:color w:val="auto"/>
          <w:spacing w:val="6"/>
          <w:kern w:val="0"/>
          <w:sz w:val="24"/>
          <w:szCs w:val="24"/>
          <w:highlight w:val="none"/>
          <w:lang w:eastAsia="zh-CN"/>
        </w:rPr>
        <w:t>（</w:t>
      </w:r>
      <w:r>
        <w:rPr>
          <w:rFonts w:hint="eastAsia" w:ascii="仿宋" w:hAnsi="仿宋" w:eastAsia="仿宋" w:cs="仿宋"/>
          <w:b w:val="0"/>
          <w:bCs/>
          <w:snapToGrid w:val="0"/>
          <w:color w:val="auto"/>
          <w:spacing w:val="6"/>
          <w:kern w:val="0"/>
          <w:sz w:val="24"/>
          <w:szCs w:val="24"/>
          <w:highlight w:val="none"/>
          <w:lang w:val="en-US" w:eastAsia="zh-CN"/>
        </w:rPr>
        <w:t>2</w:t>
      </w:r>
      <w:r>
        <w:rPr>
          <w:rFonts w:hint="eastAsia" w:ascii="仿宋" w:hAnsi="仿宋" w:eastAsia="仿宋" w:cs="仿宋"/>
          <w:b w:val="0"/>
          <w:bCs/>
          <w:snapToGrid w:val="0"/>
          <w:color w:val="auto"/>
          <w:spacing w:val="6"/>
          <w:kern w:val="0"/>
          <w:sz w:val="24"/>
          <w:szCs w:val="24"/>
          <w:highlight w:val="none"/>
          <w:lang w:eastAsia="zh-CN"/>
        </w:rPr>
        <w:t>）</w:t>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治理保障：构建了“董事会（下设绿色金融委员会）—高管层（下设绿色金融事业部）—执行层”的绿色金融治理架构</w:t>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begin"/>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instrText xml:space="preserve"> HYPERLINK "http://www.yznsh.net/yzrcb/625632/625748/1051899/2023061610564987311.pdf" \l "2#2" \t "https://chat.deepseek.com/a/chat/s/_blank" </w:instrText>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separate"/>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end"/>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，确保战略得到有效执行</w:t>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begin"/>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instrText xml:space="preserve"> HYPERLINK "http://www.yznsh.net/yzrcb/625632/625748/1051899/2023061610564987311.pdf" \l "2#2" \t "https://chat.deepseek.com/a/chat/s/_blank" </w:instrText>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separate"/>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end"/>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w:t>
      </w:r>
    </w:p>
    <w:p>
      <w:pPr>
        <w:keepNext w:val="0"/>
        <w:keepLines w:val="0"/>
        <w:pageBreakBefore w:val="0"/>
        <w:widowControl/>
        <w:kinsoku/>
        <w:wordWrap/>
        <w:overflowPunct/>
        <w:topLinePunct w:val="0"/>
        <w:autoSpaceDE w:val="0"/>
        <w:autoSpaceDN w:val="0"/>
        <w:bidi w:val="0"/>
        <w:adjustRightInd w:val="0"/>
        <w:snapToGrid w:val="0"/>
        <w:spacing w:before="217" w:beforeLines="50" w:line="240" w:lineRule="auto"/>
        <w:ind w:firstLine="504"/>
        <w:textAlignment w:val="baseline"/>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pPr>
      <w:r>
        <w:rPr>
          <w:rFonts w:hint="eastAsia" w:ascii="仿宋" w:hAnsi="仿宋" w:eastAsia="仿宋" w:cs="仿宋"/>
          <w:b w:val="0"/>
          <w:bCs/>
          <w:snapToGrid w:val="0"/>
          <w:color w:val="auto"/>
          <w:spacing w:val="6"/>
          <w:kern w:val="0"/>
          <w:sz w:val="24"/>
          <w:szCs w:val="24"/>
          <w:highlight w:val="none"/>
          <w:lang w:eastAsia="zh-CN"/>
        </w:rPr>
        <w:t>（</w:t>
      </w:r>
      <w:r>
        <w:rPr>
          <w:rFonts w:hint="eastAsia" w:ascii="仿宋" w:hAnsi="仿宋" w:eastAsia="仿宋" w:cs="仿宋"/>
          <w:b w:val="0"/>
          <w:bCs/>
          <w:snapToGrid w:val="0"/>
          <w:color w:val="auto"/>
          <w:spacing w:val="6"/>
          <w:kern w:val="0"/>
          <w:sz w:val="24"/>
          <w:szCs w:val="24"/>
          <w:highlight w:val="none"/>
          <w:lang w:val="en-US" w:eastAsia="zh-CN"/>
        </w:rPr>
        <w:t>3</w:t>
      </w:r>
      <w:r>
        <w:rPr>
          <w:rFonts w:hint="eastAsia" w:ascii="仿宋" w:hAnsi="仿宋" w:eastAsia="仿宋" w:cs="仿宋"/>
          <w:b w:val="0"/>
          <w:bCs/>
          <w:snapToGrid w:val="0"/>
          <w:color w:val="auto"/>
          <w:spacing w:val="6"/>
          <w:kern w:val="0"/>
          <w:sz w:val="24"/>
          <w:szCs w:val="24"/>
          <w:highlight w:val="none"/>
          <w:lang w:eastAsia="zh-CN"/>
        </w:rPr>
        <w:t>）</w:t>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制度规范：建立了完善的制度体系，包括《绿色信贷管理政策》、《绿色信贷统计制度》、《环境风险管理制度》等</w:t>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begin"/>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instrText xml:space="preserve"> HYPERLINK "http://www.yznsh.net/yzrcb/625632/625752/1175480/2024101016571940314.docx" \l "3#2" \t "https://chat.deepseek.com/a/chat/s/_blank" </w:instrText>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separate"/>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end"/>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，并与地方政府环保部门建立信息共享机制。</w:t>
      </w:r>
    </w:p>
    <w:p>
      <w:pPr>
        <w:keepNext w:val="0"/>
        <w:keepLines w:val="0"/>
        <w:pageBreakBefore w:val="0"/>
        <w:widowControl/>
        <w:kinsoku/>
        <w:wordWrap/>
        <w:overflowPunct/>
        <w:topLinePunct w:val="0"/>
        <w:autoSpaceDE w:val="0"/>
        <w:autoSpaceDN w:val="0"/>
        <w:bidi w:val="0"/>
        <w:adjustRightInd w:val="0"/>
        <w:snapToGrid w:val="0"/>
        <w:spacing w:before="217" w:beforeLines="50" w:line="240" w:lineRule="auto"/>
        <w:ind w:firstLine="504"/>
        <w:textAlignment w:val="baseline"/>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pPr>
      <w:r>
        <w:rPr>
          <w:rFonts w:hint="eastAsia" w:ascii="仿宋" w:hAnsi="仿宋" w:eastAsia="仿宋" w:cs="仿宋"/>
          <w:b w:val="0"/>
          <w:bCs/>
          <w:snapToGrid w:val="0"/>
          <w:color w:val="auto"/>
          <w:spacing w:val="6"/>
          <w:kern w:val="0"/>
          <w:sz w:val="24"/>
          <w:szCs w:val="24"/>
          <w:highlight w:val="none"/>
          <w:lang w:eastAsia="zh-CN"/>
        </w:rPr>
        <w:t>（</w:t>
      </w:r>
      <w:r>
        <w:rPr>
          <w:rFonts w:hint="eastAsia" w:ascii="仿宋" w:hAnsi="仿宋" w:eastAsia="仿宋" w:cs="仿宋"/>
          <w:b w:val="0"/>
          <w:bCs/>
          <w:snapToGrid w:val="0"/>
          <w:color w:val="auto"/>
          <w:spacing w:val="6"/>
          <w:kern w:val="0"/>
          <w:sz w:val="24"/>
          <w:szCs w:val="24"/>
          <w:highlight w:val="none"/>
          <w:lang w:val="en-US" w:eastAsia="zh-CN"/>
        </w:rPr>
        <w:t>4</w:t>
      </w:r>
      <w:r>
        <w:rPr>
          <w:rFonts w:hint="eastAsia" w:ascii="仿宋" w:hAnsi="仿宋" w:eastAsia="仿宋" w:cs="仿宋"/>
          <w:b w:val="0"/>
          <w:bCs/>
          <w:snapToGrid w:val="0"/>
          <w:color w:val="auto"/>
          <w:spacing w:val="6"/>
          <w:kern w:val="0"/>
          <w:sz w:val="24"/>
          <w:szCs w:val="24"/>
          <w:highlight w:val="none"/>
          <w:lang w:eastAsia="zh-CN"/>
        </w:rPr>
        <w:t>）</w:t>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风险管控：将环境风险纳入全面风险管理体系</w:t>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begin"/>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instrText xml:space="preserve"> HYPERLINK "http://www.yznsh.net/yzrcb/625632/625752/1175480/2024101016571940314.docx" \l "3#2" \t "https://chat.deepseek.com/a/chat/s/_blank" </w:instrText>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separate"/>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end"/>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，严格执行“三台六岗”机制，对“两高一剩”行业实施严格的准入限制和逐步退出策略</w:t>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begin"/>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instrText xml:space="preserve"> HYPERLINK "http://www.yznsh.net/yzrcb/625632/625748/1051899/2023061610564987311.pdf" \l "2#2" \t "https://chat.deepseek.com/a/chat/s/_blank" </w:instrText>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separate"/>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end"/>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w:t>
      </w:r>
    </w:p>
    <w:p>
      <w:pPr>
        <w:pageBreakBefore w:val="0"/>
        <w:widowControl/>
        <w:kinsoku w:val="0"/>
        <w:wordWrap/>
        <w:topLinePunct w:val="0"/>
        <w:autoSpaceDE w:val="0"/>
        <w:autoSpaceDN w:val="0"/>
        <w:bidi w:val="0"/>
        <w:adjustRightInd w:val="0"/>
        <w:snapToGrid w:val="0"/>
        <w:spacing w:before="149" w:beforeLines="50" w:line="240" w:lineRule="auto"/>
        <w:ind w:firstLine="480" w:firstLineChars="200"/>
        <w:textAlignment w:val="baseline"/>
        <w:outlineLvl w:val="2"/>
        <w:rPr>
          <w:rFonts w:hint="default" w:ascii="微软雅黑" w:hAnsi="微软雅黑" w:eastAsia="微软雅黑" w:cs="微软雅黑"/>
          <w:b w:val="0"/>
          <w:bCs/>
          <w:color w:val="000000" w:themeColor="text1"/>
          <w:kern w:val="2"/>
          <w:sz w:val="24"/>
          <w:szCs w:val="24"/>
          <w:lang w:val="en-US" w:eastAsia="zh-CN" w:bidi="ar-SA"/>
          <w14:textFill>
            <w14:solidFill>
              <w14:schemeClr w14:val="tx1"/>
            </w14:solidFill>
          </w14:textFill>
        </w:rPr>
      </w:pPr>
      <w:r>
        <w:rPr>
          <w:rFonts w:hint="eastAsia" w:ascii="微软雅黑" w:hAnsi="微软雅黑" w:eastAsia="微软雅黑" w:cs="微软雅黑"/>
          <w:b w:val="0"/>
          <w:bCs/>
          <w:color w:val="000000" w:themeColor="text1"/>
          <w:kern w:val="2"/>
          <w:sz w:val="24"/>
          <w:szCs w:val="24"/>
          <w:lang w:val="en-US" w:eastAsia="zh-CN" w:bidi="ar-SA"/>
          <w14:textFill>
            <w14:solidFill>
              <w14:schemeClr w14:val="tx1"/>
            </w14:solidFill>
          </w14:textFill>
        </w:rPr>
        <w:t>5.5.3</w:t>
      </w:r>
      <w:r>
        <w:rPr>
          <w:rFonts w:hint="default" w:ascii="微软雅黑" w:hAnsi="微软雅黑" w:eastAsia="微软雅黑" w:cs="微软雅黑"/>
          <w:b w:val="0"/>
          <w:bCs/>
          <w:color w:val="000000" w:themeColor="text1"/>
          <w:kern w:val="2"/>
          <w:sz w:val="24"/>
          <w:szCs w:val="24"/>
          <w:lang w:val="en-US" w:eastAsia="zh-CN" w:bidi="ar-SA"/>
          <w14:textFill>
            <w14:solidFill>
              <w14:schemeClr w14:val="tx1"/>
            </w14:solidFill>
          </w14:textFill>
        </w:rPr>
        <w:t>关键议题落地措施</w:t>
      </w:r>
    </w:p>
    <w:p>
      <w:pPr>
        <w:keepNext w:val="0"/>
        <w:keepLines w:val="0"/>
        <w:pageBreakBefore w:val="0"/>
        <w:widowControl/>
        <w:kinsoku/>
        <w:wordWrap/>
        <w:overflowPunct/>
        <w:topLinePunct w:val="0"/>
        <w:autoSpaceDE w:val="0"/>
        <w:autoSpaceDN w:val="0"/>
        <w:bidi w:val="0"/>
        <w:adjustRightInd w:val="0"/>
        <w:snapToGrid w:val="0"/>
        <w:spacing w:before="217" w:beforeLines="50" w:line="240" w:lineRule="auto"/>
        <w:ind w:firstLine="504"/>
        <w:textAlignment w:val="baseline"/>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pP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针对识别出的关键环境议题，本行已采取了一系列具体措施。</w:t>
      </w:r>
    </w:p>
    <w:p>
      <w:pPr>
        <w:keepNext w:val="0"/>
        <w:keepLines w:val="0"/>
        <w:pageBreakBefore w:val="0"/>
        <w:widowControl/>
        <w:kinsoku/>
        <w:wordWrap/>
        <w:overflowPunct/>
        <w:topLinePunct w:val="0"/>
        <w:autoSpaceDE w:val="0"/>
        <w:autoSpaceDN w:val="0"/>
        <w:bidi w:val="0"/>
        <w:adjustRightInd w:val="0"/>
        <w:snapToGrid w:val="0"/>
        <w:spacing w:before="217" w:beforeLines="50" w:line="240" w:lineRule="auto"/>
        <w:ind w:firstLine="504"/>
        <w:textAlignment w:val="baseline"/>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pPr>
      <w:r>
        <w:rPr>
          <w:rFonts w:hint="eastAsia" w:ascii="仿宋" w:hAnsi="仿宋" w:eastAsia="仿宋" w:cs="仿宋"/>
          <w:b w:val="0"/>
          <w:bCs/>
          <w:snapToGrid w:val="0"/>
          <w:color w:val="auto"/>
          <w:spacing w:val="6"/>
          <w:kern w:val="0"/>
          <w:sz w:val="24"/>
          <w:szCs w:val="24"/>
          <w:highlight w:val="none"/>
          <w:lang w:eastAsia="zh-CN"/>
        </w:rPr>
        <w:t>（</w:t>
      </w:r>
      <w:r>
        <w:rPr>
          <w:rFonts w:hint="eastAsia" w:ascii="仿宋" w:hAnsi="仿宋" w:eastAsia="仿宋" w:cs="仿宋"/>
          <w:b w:val="0"/>
          <w:bCs/>
          <w:snapToGrid w:val="0"/>
          <w:color w:val="auto"/>
          <w:spacing w:val="6"/>
          <w:kern w:val="0"/>
          <w:sz w:val="24"/>
          <w:szCs w:val="24"/>
          <w:highlight w:val="none"/>
          <w:lang w:val="en-US" w:eastAsia="zh-CN"/>
        </w:rPr>
        <w:t>1</w:t>
      </w:r>
      <w:r>
        <w:rPr>
          <w:rFonts w:hint="eastAsia" w:ascii="仿宋" w:hAnsi="仿宋" w:eastAsia="仿宋" w:cs="仿宋"/>
          <w:b w:val="0"/>
          <w:bCs/>
          <w:snapToGrid w:val="0"/>
          <w:color w:val="auto"/>
          <w:spacing w:val="6"/>
          <w:kern w:val="0"/>
          <w:sz w:val="24"/>
          <w:szCs w:val="24"/>
          <w:highlight w:val="none"/>
          <w:lang w:eastAsia="zh-CN"/>
        </w:rPr>
        <w:t>）</w:t>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支持绿色产业：积极响应“双碳”战略</w:t>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begin"/>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instrText xml:space="preserve"> HYPERLINK "http://www.yznsh.net/yzrcb/625632/625752/1175480/2024101016571940314.docx" \l "3#2" \t "https://chat.deepseek.com/a/chat/s/_blank" </w:instrText>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separate"/>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end"/>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，明确将绿色农业、绿色制造、绿色水资源治理、绿色生态城市建设作为四大重点支持领域，引导信贷资源向低碳领域倾斜。</w:t>
      </w:r>
    </w:p>
    <w:p>
      <w:pPr>
        <w:keepNext w:val="0"/>
        <w:keepLines w:val="0"/>
        <w:pageBreakBefore w:val="0"/>
        <w:widowControl/>
        <w:kinsoku/>
        <w:wordWrap/>
        <w:overflowPunct/>
        <w:topLinePunct w:val="0"/>
        <w:autoSpaceDE w:val="0"/>
        <w:autoSpaceDN w:val="0"/>
        <w:bidi w:val="0"/>
        <w:adjustRightInd w:val="0"/>
        <w:snapToGrid w:val="0"/>
        <w:spacing w:before="217" w:beforeLines="50" w:line="240" w:lineRule="auto"/>
        <w:ind w:firstLine="504"/>
        <w:textAlignment w:val="baseline"/>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pPr>
      <w:r>
        <w:rPr>
          <w:rFonts w:hint="eastAsia" w:ascii="仿宋" w:hAnsi="仿宋" w:eastAsia="仿宋" w:cs="仿宋"/>
          <w:b w:val="0"/>
          <w:bCs/>
          <w:snapToGrid w:val="0"/>
          <w:color w:val="auto"/>
          <w:spacing w:val="6"/>
          <w:kern w:val="0"/>
          <w:sz w:val="24"/>
          <w:szCs w:val="24"/>
          <w:highlight w:val="none"/>
          <w:lang w:eastAsia="zh-CN"/>
        </w:rPr>
        <w:t>（</w:t>
      </w:r>
      <w:r>
        <w:rPr>
          <w:rFonts w:hint="eastAsia" w:ascii="仿宋" w:hAnsi="仿宋" w:eastAsia="仿宋" w:cs="仿宋"/>
          <w:b w:val="0"/>
          <w:bCs/>
          <w:snapToGrid w:val="0"/>
          <w:color w:val="auto"/>
          <w:spacing w:val="6"/>
          <w:kern w:val="0"/>
          <w:sz w:val="24"/>
          <w:szCs w:val="24"/>
          <w:highlight w:val="none"/>
          <w:lang w:val="en-US" w:eastAsia="zh-CN"/>
        </w:rPr>
        <w:t>2</w:t>
      </w:r>
      <w:r>
        <w:rPr>
          <w:rFonts w:hint="eastAsia" w:ascii="仿宋" w:hAnsi="仿宋" w:eastAsia="仿宋" w:cs="仿宋"/>
          <w:b w:val="0"/>
          <w:bCs/>
          <w:snapToGrid w:val="0"/>
          <w:color w:val="auto"/>
          <w:spacing w:val="6"/>
          <w:kern w:val="0"/>
          <w:sz w:val="24"/>
          <w:szCs w:val="24"/>
          <w:highlight w:val="none"/>
          <w:lang w:eastAsia="zh-CN"/>
        </w:rPr>
        <w:t>）</w:t>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创新金融产品：针对不同绿色场景创新产品，如支持光伏发电的 “光伏创收贷” 、支持环保企业的 “环保贷” ，以及“排污权抵押贷”等，并拓展专利权质押等担保方式</w:t>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begin"/>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instrText xml:space="preserve"> HYPERLINK "http://www.yznsh.net/yzrcb/625632/625748/1051899/2023061610564987311.pdf" \l "2#2" \t "https://chat.deepseek.com/a/chat/s/_blank" </w:instrText>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separate"/>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end"/>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w:t>
      </w:r>
    </w:p>
    <w:p>
      <w:pPr>
        <w:keepNext w:val="0"/>
        <w:keepLines w:val="0"/>
        <w:pageBreakBefore w:val="0"/>
        <w:widowControl/>
        <w:kinsoku/>
        <w:wordWrap/>
        <w:overflowPunct/>
        <w:topLinePunct w:val="0"/>
        <w:autoSpaceDE w:val="0"/>
        <w:autoSpaceDN w:val="0"/>
        <w:bidi w:val="0"/>
        <w:adjustRightInd w:val="0"/>
        <w:snapToGrid w:val="0"/>
        <w:spacing w:before="217" w:beforeLines="50" w:line="240" w:lineRule="auto"/>
        <w:ind w:firstLine="504"/>
        <w:textAlignment w:val="baseline"/>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pPr>
      <w:r>
        <w:rPr>
          <w:rFonts w:hint="eastAsia" w:ascii="仿宋" w:hAnsi="仿宋" w:eastAsia="仿宋" w:cs="仿宋"/>
          <w:b w:val="0"/>
          <w:bCs/>
          <w:snapToGrid w:val="0"/>
          <w:color w:val="auto"/>
          <w:spacing w:val="6"/>
          <w:kern w:val="0"/>
          <w:sz w:val="24"/>
          <w:szCs w:val="24"/>
          <w:highlight w:val="none"/>
          <w:lang w:eastAsia="zh-CN"/>
        </w:rPr>
        <w:t>（</w:t>
      </w:r>
      <w:r>
        <w:rPr>
          <w:rFonts w:hint="eastAsia" w:ascii="仿宋" w:hAnsi="仿宋" w:eastAsia="仿宋" w:cs="仿宋"/>
          <w:b w:val="0"/>
          <w:bCs/>
          <w:snapToGrid w:val="0"/>
          <w:color w:val="auto"/>
          <w:spacing w:val="6"/>
          <w:kern w:val="0"/>
          <w:sz w:val="24"/>
          <w:szCs w:val="24"/>
          <w:highlight w:val="none"/>
          <w:lang w:val="en-US" w:eastAsia="zh-CN"/>
        </w:rPr>
        <w:t>3</w:t>
      </w:r>
      <w:r>
        <w:rPr>
          <w:rFonts w:hint="eastAsia" w:ascii="仿宋" w:hAnsi="仿宋" w:eastAsia="仿宋" w:cs="仿宋"/>
          <w:b w:val="0"/>
          <w:bCs/>
          <w:snapToGrid w:val="0"/>
          <w:color w:val="auto"/>
          <w:spacing w:val="6"/>
          <w:kern w:val="0"/>
          <w:sz w:val="24"/>
          <w:szCs w:val="24"/>
          <w:highlight w:val="none"/>
          <w:lang w:eastAsia="zh-CN"/>
        </w:rPr>
        <w:t>）</w:t>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践行绿色运营：推进办公数字化和无纸化</w:t>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begin"/>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instrText xml:space="preserve"> HYPERLINK "http://www.yznsh.net/yzrcb/625632/625748/1051899/2023061610564987311.pdf" \l "2#2" \t "https://chat.deepseek.com/a/chat/s/_blank" </w:instrText>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separate"/>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end"/>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；加强日常节能管理</w:t>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begin"/>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instrText xml:space="preserve"> HYPERLINK "http://www.yznsh.net/yzrcb/625632/625748/1051899/2023061610564987311.pdf" \l "2#2" \t "https://chat.deepseek.com/a/chat/s/_blank" </w:instrText>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separate"/>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end"/>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；推行绿色采购，优先选择环保产品</w:t>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begin"/>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instrText xml:space="preserve"> HYPERLINK "http://www.yznsh.net/yzrcb/625632/625748/1051899/2023061610564987311.pdf" \l "2#2" \t "https://chat.deepseek.com/a/chat/s/_blank" </w:instrText>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separate"/>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end"/>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；并推广视频会议以减少差旅碳排放</w:t>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begin"/>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instrText xml:space="preserve"> HYPERLINK "http://www.yznsh.net/yzrcb/625632/625748/1051899/2023061610564987311.pdf" \l "2#2" \t "https://chat.deepseek.com/a/chat/s/_blank" </w:instrText>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separate"/>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end"/>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w:t>
      </w:r>
    </w:p>
    <w:p>
      <w:pPr>
        <w:keepNext w:val="0"/>
        <w:keepLines w:val="0"/>
        <w:pageBreakBefore w:val="0"/>
        <w:widowControl/>
        <w:kinsoku/>
        <w:wordWrap/>
        <w:overflowPunct/>
        <w:topLinePunct w:val="0"/>
        <w:autoSpaceDE w:val="0"/>
        <w:autoSpaceDN w:val="0"/>
        <w:bidi w:val="0"/>
        <w:adjustRightInd w:val="0"/>
        <w:snapToGrid w:val="0"/>
        <w:spacing w:before="217" w:beforeLines="50" w:line="240" w:lineRule="auto"/>
        <w:ind w:firstLine="504"/>
        <w:textAlignment w:val="baseline"/>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pPr>
      <w:r>
        <w:rPr>
          <w:rFonts w:hint="eastAsia" w:ascii="仿宋" w:hAnsi="仿宋" w:eastAsia="仿宋" w:cs="仿宋"/>
          <w:b w:val="0"/>
          <w:bCs/>
          <w:snapToGrid w:val="0"/>
          <w:color w:val="auto"/>
          <w:spacing w:val="6"/>
          <w:kern w:val="0"/>
          <w:sz w:val="24"/>
          <w:szCs w:val="24"/>
          <w:highlight w:val="none"/>
          <w:lang w:eastAsia="zh-CN"/>
        </w:rPr>
        <w:t>（</w:t>
      </w:r>
      <w:r>
        <w:rPr>
          <w:rFonts w:hint="eastAsia" w:ascii="仿宋" w:hAnsi="仿宋" w:eastAsia="仿宋" w:cs="仿宋"/>
          <w:b w:val="0"/>
          <w:bCs/>
          <w:snapToGrid w:val="0"/>
          <w:color w:val="auto"/>
          <w:spacing w:val="6"/>
          <w:kern w:val="0"/>
          <w:sz w:val="24"/>
          <w:szCs w:val="24"/>
          <w:highlight w:val="none"/>
          <w:lang w:val="en-US" w:eastAsia="zh-CN"/>
        </w:rPr>
        <w:t>4</w:t>
      </w:r>
      <w:r>
        <w:rPr>
          <w:rFonts w:hint="eastAsia" w:ascii="仿宋" w:hAnsi="仿宋" w:eastAsia="仿宋" w:cs="仿宋"/>
          <w:b w:val="0"/>
          <w:bCs/>
          <w:snapToGrid w:val="0"/>
          <w:color w:val="auto"/>
          <w:spacing w:val="6"/>
          <w:kern w:val="0"/>
          <w:sz w:val="24"/>
          <w:szCs w:val="24"/>
          <w:highlight w:val="none"/>
          <w:lang w:eastAsia="zh-CN"/>
        </w:rPr>
        <w:t>）</w:t>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强化信息披露：定期编制并发布环境信息披露报告</w:t>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begin"/>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instrText xml:space="preserve"> HYPERLINK "http://www.yznsh.net/yzrcb/625632/625752/1175480/2024101016571940314.docx" \l "3#1" \t "https://chat.deepseek.com/a/chat/s/_blank" </w:instrText>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separate"/>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end"/>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，详细披露绿色金融战略、信贷数据及环境绩效，确保信息的透明度与公信力。</w:t>
      </w:r>
    </w:p>
    <w:p>
      <w:pPr>
        <w:keepNext w:val="0"/>
        <w:keepLines w:val="0"/>
        <w:pageBreakBefore w:val="0"/>
        <w:widowControl/>
        <w:kinsoku/>
        <w:wordWrap/>
        <w:overflowPunct/>
        <w:topLinePunct w:val="0"/>
        <w:autoSpaceDE w:val="0"/>
        <w:autoSpaceDN w:val="0"/>
        <w:bidi w:val="0"/>
        <w:adjustRightInd w:val="0"/>
        <w:snapToGrid w:val="0"/>
        <w:spacing w:before="217" w:beforeLines="50" w:line="240" w:lineRule="auto"/>
        <w:ind w:firstLine="504"/>
        <w:textAlignment w:val="baseline"/>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pP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本行致力于通过上述机制、方针与措施，积极回应各利益相关方的关切，持续提升绿色金融服务能力，为实现“富强美好城乡，筑梦扬州金融”的企业使命贡献力量。</w:t>
      </w:r>
    </w:p>
    <w:p>
      <w:pPr>
        <w:pageBreakBefore w:val="0"/>
        <w:widowControl/>
        <w:kinsoku w:val="0"/>
        <w:wordWrap/>
        <w:topLinePunct w:val="0"/>
        <w:autoSpaceDE w:val="0"/>
        <w:autoSpaceDN w:val="0"/>
        <w:bidi w:val="0"/>
        <w:adjustRightInd w:val="0"/>
        <w:snapToGrid w:val="0"/>
        <w:spacing w:before="149" w:beforeLines="50" w:line="240" w:lineRule="auto"/>
        <w:ind w:firstLine="504" w:firstLineChars="200"/>
        <w:textAlignment w:val="baseline"/>
        <w:rPr>
          <w:rFonts w:hint="eastAsia" w:ascii="仿宋" w:hAnsi="仿宋" w:eastAsia="仿宋" w:cs="仿宋"/>
          <w:b w:val="0"/>
          <w:bCs/>
          <w:snapToGrid w:val="0"/>
          <w:color w:val="000000" w:themeColor="text1"/>
          <w:spacing w:val="6"/>
          <w:kern w:val="0"/>
          <w:sz w:val="24"/>
          <w:szCs w:val="24"/>
          <w:lang w:val="en-US" w:eastAsia="zh-CN"/>
          <w14:textFill>
            <w14:solidFill>
              <w14:schemeClr w14:val="tx1"/>
            </w14:solidFill>
          </w14:textFill>
        </w:rPr>
      </w:pPr>
    </w:p>
    <w:p>
      <w:pPr>
        <w:rPr>
          <w:rFonts w:hint="eastAsia" w:ascii="仿宋" w:hAnsi="仿宋" w:eastAsia="仿宋" w:cs="仿宋"/>
          <w:b w:val="0"/>
          <w:bCs/>
          <w:snapToGrid w:val="0"/>
          <w:color w:val="000000" w:themeColor="text1"/>
          <w:spacing w:val="6"/>
          <w:kern w:val="0"/>
          <w:sz w:val="24"/>
          <w:szCs w:val="24"/>
          <w:lang w:val="en-US" w:eastAsia="zh-CN"/>
          <w14:textFill>
            <w14:solidFill>
              <w14:schemeClr w14:val="tx1"/>
            </w14:solidFill>
          </w14:textFill>
        </w:rPr>
      </w:pPr>
      <w:r>
        <w:rPr>
          <w:rFonts w:hint="eastAsia" w:ascii="仿宋" w:hAnsi="仿宋" w:eastAsia="仿宋" w:cs="仿宋"/>
          <w:b w:val="0"/>
          <w:bCs/>
          <w:snapToGrid w:val="0"/>
          <w:color w:val="000000" w:themeColor="text1"/>
          <w:spacing w:val="6"/>
          <w:kern w:val="0"/>
          <w:sz w:val="24"/>
          <w:szCs w:val="24"/>
          <w:lang w:val="en-US" w:eastAsia="zh-CN"/>
          <w14:textFill>
            <w14:solidFill>
              <w14:schemeClr w14:val="tx1"/>
            </w14:solidFill>
          </w14:textFill>
        </w:rPr>
        <w:br w:type="page"/>
      </w:r>
    </w:p>
    <w:p>
      <w:pPr>
        <w:pStyle w:val="18"/>
        <w:keepNext w:val="0"/>
        <w:keepLines w:val="0"/>
        <w:pageBreakBefore w:val="0"/>
        <w:numPr>
          <w:ilvl w:val="0"/>
          <w:numId w:val="6"/>
        </w:numPr>
        <w:tabs>
          <w:tab w:val="right" w:leader="dot" w:pos="9897"/>
        </w:tabs>
        <w:kinsoku/>
        <w:wordWrap/>
        <w:overflowPunct/>
        <w:topLinePunct w:val="0"/>
        <w:bidi w:val="0"/>
        <w:adjustRightInd w:val="0"/>
        <w:snapToGrid w:val="0"/>
        <w:spacing w:line="240" w:lineRule="auto"/>
        <w:ind w:left="0" w:leftChars="0" w:firstLine="0" w:firstLineChars="0"/>
        <w:jc w:val="center"/>
        <w:outlineLvl w:val="0"/>
        <w:rPr>
          <w:rFonts w:hint="eastAsia" w:ascii="微软雅黑" w:hAnsi="微软雅黑" w:eastAsia="微软雅黑" w:cs="微软雅黑"/>
          <w:b w:val="0"/>
          <w:bCs/>
          <w:color w:val="00B050"/>
          <w:kern w:val="2"/>
          <w:sz w:val="32"/>
          <w:szCs w:val="32"/>
          <w:lang w:val="en-US" w:eastAsia="zh-CN" w:bidi="ar-SA"/>
        </w:rPr>
      </w:pPr>
      <w:bookmarkStart w:id="24" w:name="_Toc3066"/>
      <w:r>
        <w:rPr>
          <w:rFonts w:hint="eastAsia" w:ascii="微软雅黑" w:hAnsi="微软雅黑" w:eastAsia="微软雅黑" w:cs="微软雅黑"/>
          <w:b w:val="0"/>
          <w:bCs/>
          <w:color w:val="00B050"/>
          <w:kern w:val="2"/>
          <w:sz w:val="32"/>
          <w:szCs w:val="32"/>
          <w:lang w:val="en-US" w:eastAsia="zh-CN" w:bidi="ar-SA"/>
        </w:rPr>
        <w:t>经营活动的环境影响</w:t>
      </w:r>
      <w:bookmarkEnd w:id="24"/>
    </w:p>
    <w:p>
      <w:pPr>
        <w:keepNext w:val="0"/>
        <w:keepLines w:val="0"/>
        <w:pageBreakBefore w:val="0"/>
        <w:widowControl/>
        <w:numPr>
          <w:ilvl w:val="0"/>
          <w:numId w:val="0"/>
        </w:numPr>
        <w:kinsoku/>
        <w:wordWrap/>
        <w:overflowPunct/>
        <w:topLinePunct w:val="0"/>
        <w:autoSpaceDE w:val="0"/>
        <w:autoSpaceDN w:val="0"/>
        <w:bidi w:val="0"/>
        <w:adjustRightInd w:val="0"/>
        <w:snapToGrid w:val="0"/>
        <w:spacing w:before="149" w:beforeLines="50" w:line="240" w:lineRule="auto"/>
        <w:ind w:left="0" w:leftChars="0" w:firstLine="0" w:firstLineChars="0"/>
        <w:textAlignment w:val="baseline"/>
        <w:outlineLvl w:val="0"/>
        <w:rPr>
          <w:rFonts w:hint="eastAsia" w:ascii="微软雅黑" w:hAnsi="微软雅黑" w:eastAsia="微软雅黑" w:cs="微软雅黑"/>
          <w:b w:val="0"/>
          <w:bCs/>
          <w:color w:val="000000" w:themeColor="text1"/>
          <w:kern w:val="2"/>
          <w:sz w:val="28"/>
          <w:szCs w:val="28"/>
          <w:lang w:val="en-US" w:eastAsia="zh-CN" w:bidi="ar-SA"/>
          <w14:textFill>
            <w14:solidFill>
              <w14:schemeClr w14:val="tx1"/>
            </w14:solidFill>
          </w14:textFill>
        </w:rPr>
      </w:pPr>
      <w:bookmarkStart w:id="25" w:name="_Toc20267"/>
      <w:r>
        <w:rPr>
          <w:rFonts w:hint="eastAsia" w:ascii="微软雅黑" w:hAnsi="微软雅黑" w:eastAsia="微软雅黑" w:cs="微软雅黑"/>
          <w:b w:val="0"/>
          <w:bCs/>
          <w:color w:val="000000" w:themeColor="text1"/>
          <w:kern w:val="2"/>
          <w:sz w:val="28"/>
          <w:szCs w:val="28"/>
          <w:lang w:val="en-US" w:eastAsia="zh-CN" w:bidi="ar-SA"/>
          <w14:textFill>
            <w14:solidFill>
              <w14:schemeClr w14:val="tx1"/>
            </w14:solidFill>
          </w14:textFill>
        </w:rPr>
        <w:t>6.1 自身经营的能源和资源消耗</w:t>
      </w:r>
      <w:bookmarkEnd w:id="25"/>
    </w:p>
    <w:p>
      <w:pPr>
        <w:pageBreakBefore w:val="0"/>
        <w:widowControl/>
        <w:kinsoku w:val="0"/>
        <w:wordWrap/>
        <w:topLinePunct w:val="0"/>
        <w:autoSpaceDE w:val="0"/>
        <w:autoSpaceDN w:val="0"/>
        <w:bidi w:val="0"/>
        <w:adjustRightInd w:val="0"/>
        <w:snapToGrid w:val="0"/>
        <w:spacing w:before="149" w:beforeLines="50" w:line="240" w:lineRule="auto"/>
        <w:ind w:firstLine="480" w:firstLineChars="200"/>
        <w:textAlignment w:val="baseline"/>
        <w:outlineLvl w:val="2"/>
        <w:rPr>
          <w:rFonts w:hint="eastAsia" w:ascii="微软雅黑" w:hAnsi="微软雅黑" w:eastAsia="微软雅黑" w:cs="微软雅黑"/>
          <w:b w:val="0"/>
          <w:bCs/>
          <w:color w:val="000000" w:themeColor="text1"/>
          <w:kern w:val="2"/>
          <w:sz w:val="24"/>
          <w:szCs w:val="24"/>
          <w:lang w:val="en-US" w:eastAsia="zh-CN" w:bidi="ar-SA"/>
          <w14:textFill>
            <w14:solidFill>
              <w14:schemeClr w14:val="tx1"/>
            </w14:solidFill>
          </w14:textFill>
        </w:rPr>
      </w:pPr>
      <w:r>
        <w:rPr>
          <w:rFonts w:hint="eastAsia" w:ascii="微软雅黑" w:hAnsi="微软雅黑" w:eastAsia="微软雅黑" w:cs="微软雅黑"/>
          <w:b w:val="0"/>
          <w:bCs/>
          <w:color w:val="000000" w:themeColor="text1"/>
          <w:kern w:val="2"/>
          <w:sz w:val="24"/>
          <w:szCs w:val="24"/>
          <w:lang w:val="en-US" w:eastAsia="zh-CN" w:bidi="ar-SA"/>
          <w14:textFill>
            <w14:solidFill>
              <w14:schemeClr w14:val="tx1"/>
            </w14:solidFill>
          </w14:textFill>
        </w:rPr>
        <w:t>6.1.1直接能源消耗的化石燃料:</w:t>
      </w:r>
    </w:p>
    <w:p>
      <w:pPr>
        <w:widowControl/>
        <w:kinsoku w:val="0"/>
        <w:autoSpaceDE w:val="0"/>
        <w:autoSpaceDN w:val="0"/>
        <w:adjustRightInd w:val="0"/>
        <w:snapToGrid w:val="0"/>
        <w:spacing w:before="217" w:beforeLines="50" w:line="240" w:lineRule="auto"/>
        <w:ind w:firstLine="504"/>
        <w:textAlignment w:val="baseline"/>
        <w:rPr>
          <w:rFonts w:hint="eastAsia" w:ascii="仿宋" w:hAnsi="仿宋" w:eastAsia="仿宋" w:cs="仿宋"/>
          <w:b w:val="0"/>
          <w:bCs/>
          <w:snapToGrid w:val="0"/>
          <w:color w:val="000000" w:themeColor="text1"/>
          <w:spacing w:val="6"/>
          <w:kern w:val="0"/>
          <w:sz w:val="24"/>
          <w:szCs w:val="24"/>
          <w14:textFill>
            <w14:solidFill>
              <w14:schemeClr w14:val="tx1"/>
            </w14:solidFill>
          </w14:textFill>
        </w:rPr>
      </w:pPr>
      <w:r>
        <w:rPr>
          <w:rFonts w:hint="eastAsia" w:ascii="仿宋" w:hAnsi="仿宋" w:eastAsia="仿宋" w:cs="仿宋"/>
          <w:b w:val="0"/>
          <w:bCs/>
          <w:snapToGrid w:val="0"/>
          <w:color w:val="000000" w:themeColor="text1"/>
          <w:spacing w:val="6"/>
          <w:kern w:val="0"/>
          <w:sz w:val="24"/>
          <w:szCs w:val="24"/>
          <w14:textFill>
            <w14:solidFill>
              <w14:schemeClr w14:val="tx1"/>
            </w14:solidFill>
          </w14:textFill>
        </w:rPr>
        <w:t>报告年度内本行自身经营的直接能源消耗的化石燃料情况如下：营业办公（含固定源、移动源）天然气</w:t>
      </w:r>
      <w:r>
        <w:rPr>
          <w:rFonts w:hint="eastAsia" w:ascii="仿宋" w:hAnsi="仿宋" w:eastAsia="仿宋" w:cs="仿宋"/>
          <w:b w:val="0"/>
          <w:bCs/>
          <w:snapToGrid w:val="0"/>
          <w:color w:val="000000" w:themeColor="text1"/>
          <w:spacing w:val="6"/>
          <w:kern w:val="0"/>
          <w:sz w:val="24"/>
          <w:szCs w:val="24"/>
          <w:u w:val="single"/>
          <w:lang w:val="en-US" w:eastAsia="zh-CN"/>
          <w14:textFill>
            <w14:solidFill>
              <w14:schemeClr w14:val="tx1"/>
            </w14:solidFill>
          </w14:textFill>
        </w:rPr>
        <w:t xml:space="preserve"> </w:t>
      </w:r>
      <w:r>
        <w:rPr>
          <w:rFonts w:ascii="仿宋" w:hAnsi="仿宋" w:eastAsia="仿宋" w:cs="仿宋"/>
          <w:color w:val="000000"/>
          <w:spacing w:val="6"/>
          <w:sz w:val="24"/>
          <w:u w:val="single" w:color="auto"/>
        </w:rPr>
        <w:t xml:space="preserve">4.35 </w:t>
      </w:r>
      <w:r>
        <w:rPr>
          <w:rFonts w:hint="eastAsia" w:ascii="仿宋" w:hAnsi="仿宋" w:eastAsia="仿宋" w:cs="仿宋"/>
          <w:b w:val="0"/>
          <w:bCs/>
          <w:snapToGrid w:val="0"/>
          <w:color w:val="000000" w:themeColor="text1"/>
          <w:spacing w:val="6"/>
          <w:kern w:val="0"/>
          <w:sz w:val="24"/>
          <w:szCs w:val="24"/>
          <w14:textFill>
            <w14:solidFill>
              <w14:schemeClr w14:val="tx1"/>
            </w14:solidFill>
          </w14:textFill>
        </w:rPr>
        <w:t>万</w:t>
      </w:r>
      <w:r>
        <w:rPr>
          <w:rFonts w:hint="eastAsia" w:ascii="宋体" w:hAnsi="宋体" w:eastAsia="宋体"/>
          <w:b w:val="0"/>
          <w:bCs/>
          <w:color w:val="000000" w:themeColor="text1"/>
          <w:kern w:val="0"/>
          <w:sz w:val="24"/>
          <w:szCs w:val="24"/>
          <w14:textFill>
            <w14:solidFill>
              <w14:schemeClr w14:val="tx1"/>
            </w14:solidFill>
          </w14:textFill>
        </w:rPr>
        <w:t>Nm</w:t>
      </w:r>
      <w:r>
        <w:rPr>
          <w:rFonts w:hint="eastAsia" w:ascii="宋体" w:hAnsi="宋体" w:eastAsia="宋体"/>
          <w:b w:val="0"/>
          <w:bCs/>
          <w:color w:val="000000" w:themeColor="text1"/>
          <w:kern w:val="0"/>
          <w:sz w:val="24"/>
          <w:szCs w:val="24"/>
          <w:vertAlign w:val="superscript"/>
          <w14:textFill>
            <w14:solidFill>
              <w14:schemeClr w14:val="tx1"/>
            </w14:solidFill>
          </w14:textFill>
        </w:rPr>
        <w:t>3</w:t>
      </w:r>
      <w:r>
        <w:rPr>
          <w:rFonts w:hint="eastAsia" w:ascii="仿宋" w:hAnsi="仿宋" w:eastAsia="仿宋" w:cs="仿宋"/>
          <w:b w:val="0"/>
          <w:bCs/>
          <w:snapToGrid w:val="0"/>
          <w:color w:val="000000" w:themeColor="text1"/>
          <w:spacing w:val="6"/>
          <w:kern w:val="0"/>
          <w:sz w:val="24"/>
          <w:szCs w:val="24"/>
          <w14:textFill>
            <w14:solidFill>
              <w14:schemeClr w14:val="tx1"/>
            </w14:solidFill>
          </w14:textFill>
        </w:rPr>
        <w:t>（万立方米）、汽油消耗</w:t>
      </w:r>
      <w:r>
        <w:rPr>
          <w:rFonts w:hint="eastAsia" w:ascii="仿宋" w:hAnsi="仿宋" w:eastAsia="仿宋" w:cs="仿宋"/>
          <w:b w:val="0"/>
          <w:bCs/>
          <w:snapToGrid w:val="0"/>
          <w:color w:val="000000" w:themeColor="text1"/>
          <w:spacing w:val="6"/>
          <w:kern w:val="0"/>
          <w:sz w:val="24"/>
          <w:szCs w:val="24"/>
          <w:u w:val="single"/>
          <w:lang w:val="en-US" w:eastAsia="zh-CN"/>
          <w14:textFill>
            <w14:solidFill>
              <w14:schemeClr w14:val="tx1"/>
            </w14:solidFill>
          </w14:textFill>
        </w:rPr>
        <w:t xml:space="preserve"> </w:t>
      </w:r>
      <w:r>
        <w:rPr>
          <w:rFonts w:ascii="仿宋" w:hAnsi="仿宋" w:eastAsia="仿宋" w:cs="仿宋"/>
          <w:color w:val="000000"/>
          <w:spacing w:val="6"/>
          <w:sz w:val="24"/>
          <w:u w:val="single" w:color="auto"/>
        </w:rPr>
        <w:t xml:space="preserve">19 </w:t>
      </w:r>
      <w:r>
        <w:rPr>
          <w:rFonts w:ascii="仿宋" w:hAnsi="仿宋" w:eastAsia="仿宋" w:cs="仿宋"/>
          <w:b w:val="0"/>
          <w:bCs/>
          <w:snapToGrid w:val="0"/>
          <w:color w:val="000000" w:themeColor="text1"/>
          <w:spacing w:val="6"/>
          <w:kern w:val="0"/>
          <w:sz w:val="24"/>
          <w:szCs w:val="24"/>
          <w14:textFill>
            <w14:solidFill>
              <w14:schemeClr w14:val="tx1"/>
            </w14:solidFill>
          </w14:textFill>
        </w:rPr>
        <w:t>t</w:t>
      </w:r>
      <w:r>
        <w:rPr>
          <w:rFonts w:hint="eastAsia" w:ascii="仿宋" w:hAnsi="仿宋" w:eastAsia="仿宋" w:cs="仿宋"/>
          <w:b w:val="0"/>
          <w:bCs/>
          <w:snapToGrid w:val="0"/>
          <w:color w:val="000000" w:themeColor="text1"/>
          <w:spacing w:val="6"/>
          <w:kern w:val="0"/>
          <w:sz w:val="24"/>
          <w:szCs w:val="24"/>
          <w14:textFill>
            <w14:solidFill>
              <w14:schemeClr w14:val="tx1"/>
            </w14:solidFill>
          </w14:textFill>
        </w:rPr>
        <w:t>（吨）。</w:t>
      </w:r>
    </w:p>
    <w:p>
      <w:pPr>
        <w:pageBreakBefore w:val="0"/>
        <w:widowControl/>
        <w:kinsoku w:val="0"/>
        <w:wordWrap/>
        <w:topLinePunct w:val="0"/>
        <w:autoSpaceDE w:val="0"/>
        <w:autoSpaceDN w:val="0"/>
        <w:bidi w:val="0"/>
        <w:adjustRightInd w:val="0"/>
        <w:snapToGrid w:val="0"/>
        <w:spacing w:before="149" w:beforeLines="50" w:line="240" w:lineRule="auto"/>
        <w:ind w:firstLine="480" w:firstLineChars="200"/>
        <w:textAlignment w:val="baseline"/>
        <w:outlineLvl w:val="2"/>
        <w:rPr>
          <w:rFonts w:hint="eastAsia" w:ascii="微软雅黑" w:hAnsi="微软雅黑" w:eastAsia="微软雅黑" w:cs="微软雅黑"/>
          <w:b w:val="0"/>
          <w:bCs/>
          <w:color w:val="000000" w:themeColor="text1"/>
          <w:kern w:val="2"/>
          <w:sz w:val="24"/>
          <w:szCs w:val="24"/>
          <w:lang w:val="en-US" w:eastAsia="zh-CN" w:bidi="ar-SA"/>
          <w14:textFill>
            <w14:solidFill>
              <w14:schemeClr w14:val="tx1"/>
            </w14:solidFill>
          </w14:textFill>
        </w:rPr>
      </w:pPr>
      <w:r>
        <w:rPr>
          <w:rFonts w:hint="eastAsia" w:ascii="微软雅黑" w:hAnsi="微软雅黑" w:eastAsia="微软雅黑" w:cs="微软雅黑"/>
          <w:b w:val="0"/>
          <w:bCs/>
          <w:color w:val="000000" w:themeColor="text1"/>
          <w:kern w:val="2"/>
          <w:sz w:val="24"/>
          <w:szCs w:val="24"/>
          <w:lang w:val="en-US" w:eastAsia="zh-CN" w:bidi="ar-SA"/>
          <w14:textFill>
            <w14:solidFill>
              <w14:schemeClr w14:val="tx1"/>
            </w14:solidFill>
          </w14:textFill>
        </w:rPr>
        <w:t>6.1.2间接能源消耗的电力、热力:</w:t>
      </w:r>
    </w:p>
    <w:p>
      <w:pPr>
        <w:widowControl/>
        <w:kinsoku w:val="0"/>
        <w:autoSpaceDE w:val="0"/>
        <w:autoSpaceDN w:val="0"/>
        <w:adjustRightInd w:val="0"/>
        <w:snapToGrid w:val="0"/>
        <w:spacing w:before="217" w:beforeLines="50" w:line="240" w:lineRule="auto"/>
        <w:ind w:firstLine="504"/>
        <w:textAlignment w:val="baseline"/>
        <w:rPr>
          <w:rFonts w:hint="eastAsia" w:ascii="仿宋" w:hAnsi="仿宋" w:eastAsia="仿宋" w:cs="仿宋"/>
          <w:b w:val="0"/>
          <w:bCs/>
          <w:snapToGrid w:val="0"/>
          <w:color w:val="000000" w:themeColor="text1"/>
          <w:spacing w:val="6"/>
          <w:kern w:val="0"/>
          <w:sz w:val="24"/>
          <w:szCs w:val="24"/>
          <w14:textFill>
            <w14:solidFill>
              <w14:schemeClr w14:val="tx1"/>
            </w14:solidFill>
          </w14:textFill>
        </w:rPr>
      </w:pPr>
      <w:r>
        <w:rPr>
          <w:rFonts w:hint="eastAsia" w:ascii="仿宋" w:hAnsi="仿宋" w:eastAsia="仿宋" w:cs="仿宋"/>
          <w:b w:val="0"/>
          <w:bCs/>
          <w:snapToGrid w:val="0"/>
          <w:color w:val="000000" w:themeColor="text1"/>
          <w:spacing w:val="6"/>
          <w:kern w:val="0"/>
          <w:sz w:val="24"/>
          <w:szCs w:val="24"/>
          <w14:textFill>
            <w14:solidFill>
              <w14:schemeClr w14:val="tx1"/>
            </w14:solidFill>
          </w14:textFill>
        </w:rPr>
        <w:t>报告年度内本行自身经营的间接能源消耗的电力、热力情况如下：营业办公消耗的外部输入电力</w:t>
      </w:r>
      <w:r>
        <w:rPr>
          <w:rFonts w:hint="eastAsia" w:ascii="仿宋" w:hAnsi="仿宋" w:eastAsia="仿宋" w:cs="仿宋"/>
          <w:b w:val="0"/>
          <w:bCs/>
          <w:snapToGrid w:val="0"/>
          <w:color w:val="000000" w:themeColor="text1"/>
          <w:spacing w:val="6"/>
          <w:kern w:val="0"/>
          <w:sz w:val="24"/>
          <w:szCs w:val="24"/>
          <w:u w:val="single"/>
          <w:lang w:val="en-US" w:eastAsia="zh-CN"/>
          <w14:textFill>
            <w14:solidFill>
              <w14:schemeClr w14:val="tx1"/>
            </w14:solidFill>
          </w14:textFill>
        </w:rPr>
        <w:t xml:space="preserve"> </w:t>
      </w:r>
      <w:r>
        <w:rPr>
          <w:rFonts w:ascii="仿宋" w:hAnsi="仿宋" w:eastAsia="仿宋" w:cs="仿宋"/>
          <w:color w:val="000000"/>
          <w:spacing w:val="6"/>
          <w:sz w:val="24"/>
          <w:u w:val="single" w:color="auto"/>
        </w:rPr>
        <w:t xml:space="preserve">2100 </w:t>
      </w:r>
      <w:r>
        <w:rPr>
          <w:rFonts w:ascii="仿宋" w:hAnsi="仿宋" w:eastAsia="仿宋" w:cs="仿宋"/>
          <w:b w:val="0"/>
          <w:bCs/>
          <w:color w:val="000000" w:themeColor="text1"/>
          <w:spacing w:val="6"/>
          <w:sz w:val="24"/>
          <w14:textFill>
            <w14:solidFill>
              <w14:schemeClr w14:val="tx1"/>
            </w14:solidFill>
          </w14:textFill>
        </w:rPr>
        <w:t>MWh</w:t>
      </w:r>
      <w:r>
        <w:rPr>
          <w:rFonts w:hint="eastAsia" w:ascii="仿宋" w:hAnsi="仿宋" w:eastAsia="仿宋" w:cs="仿宋"/>
          <w:b w:val="0"/>
          <w:bCs/>
          <w:snapToGrid w:val="0"/>
          <w:color w:val="000000" w:themeColor="text1"/>
          <w:spacing w:val="6"/>
          <w:kern w:val="0"/>
          <w:sz w:val="24"/>
          <w:szCs w:val="24"/>
          <w14:textFill>
            <w14:solidFill>
              <w14:schemeClr w14:val="tx1"/>
            </w14:solidFill>
          </w14:textFill>
        </w:rPr>
        <w:t>（兆瓦时）。</w:t>
      </w:r>
    </w:p>
    <w:p>
      <w:pPr>
        <w:pageBreakBefore w:val="0"/>
        <w:widowControl/>
        <w:kinsoku w:val="0"/>
        <w:wordWrap/>
        <w:topLinePunct w:val="0"/>
        <w:autoSpaceDE w:val="0"/>
        <w:autoSpaceDN w:val="0"/>
        <w:bidi w:val="0"/>
        <w:adjustRightInd w:val="0"/>
        <w:snapToGrid w:val="0"/>
        <w:spacing w:before="149" w:beforeLines="50" w:line="240" w:lineRule="auto"/>
        <w:ind w:firstLine="480" w:firstLineChars="200"/>
        <w:textAlignment w:val="baseline"/>
        <w:outlineLvl w:val="2"/>
        <w:rPr>
          <w:rFonts w:hint="default" w:ascii="微软雅黑" w:hAnsi="微软雅黑" w:eastAsia="微软雅黑" w:cs="微软雅黑"/>
          <w:b w:val="0"/>
          <w:bCs/>
          <w:color w:val="000000" w:themeColor="text1"/>
          <w:kern w:val="2"/>
          <w:sz w:val="24"/>
          <w:szCs w:val="24"/>
          <w:lang w:val="en-US" w:eastAsia="zh-CN" w:bidi="ar-SA"/>
          <w14:textFill>
            <w14:solidFill>
              <w14:schemeClr w14:val="tx1"/>
            </w14:solidFill>
          </w14:textFill>
        </w:rPr>
      </w:pPr>
      <w:r>
        <w:rPr>
          <w:rFonts w:hint="eastAsia" w:ascii="微软雅黑" w:hAnsi="微软雅黑" w:eastAsia="微软雅黑" w:cs="微软雅黑"/>
          <w:b w:val="0"/>
          <w:bCs/>
          <w:color w:val="000000" w:themeColor="text1"/>
          <w:kern w:val="2"/>
          <w:sz w:val="24"/>
          <w:szCs w:val="24"/>
          <w:lang w:val="en-US" w:eastAsia="zh-CN" w:bidi="ar-SA"/>
          <w14:textFill>
            <w14:solidFill>
              <w14:schemeClr w14:val="tx1"/>
            </w14:solidFill>
          </w14:textFill>
        </w:rPr>
        <w:t>6.1.3价值链消耗的能源和资源</w:t>
      </w:r>
    </w:p>
    <w:p>
      <w:pPr>
        <w:widowControl/>
        <w:kinsoku w:val="0"/>
        <w:autoSpaceDE w:val="0"/>
        <w:autoSpaceDN w:val="0"/>
        <w:adjustRightInd w:val="0"/>
        <w:snapToGrid w:val="0"/>
        <w:spacing w:before="217" w:beforeLines="50" w:line="240" w:lineRule="auto"/>
        <w:ind w:firstLine="504"/>
        <w:textAlignment w:val="baseline"/>
        <w:rPr>
          <w:rFonts w:ascii="仿宋" w:hAnsi="仿宋" w:eastAsia="仿宋" w:cs="仿宋"/>
          <w:b w:val="0"/>
          <w:bCs/>
          <w:snapToGrid w:val="0"/>
          <w:color w:val="000000" w:themeColor="text1"/>
          <w:spacing w:val="6"/>
          <w:kern w:val="0"/>
          <w:sz w:val="24"/>
          <w:szCs w:val="24"/>
          <w14:textFill>
            <w14:solidFill>
              <w14:schemeClr w14:val="tx1"/>
            </w14:solidFill>
          </w14:textFill>
        </w:rPr>
      </w:pPr>
      <w:r>
        <w:rPr>
          <w:rFonts w:hint="eastAsia" w:ascii="仿宋" w:hAnsi="仿宋" w:eastAsia="仿宋" w:cs="仿宋"/>
          <w:b w:val="0"/>
          <w:bCs/>
          <w:snapToGrid w:val="0"/>
          <w:color w:val="000000" w:themeColor="text1"/>
          <w:spacing w:val="6"/>
          <w:kern w:val="0"/>
          <w:sz w:val="24"/>
          <w:szCs w:val="24"/>
          <w14:textFill>
            <w14:solidFill>
              <w14:schemeClr w14:val="tx1"/>
            </w14:solidFill>
          </w14:textFill>
        </w:rPr>
        <w:t>报告年度内本行自身经营的价值链碳排放（范围三（不含投资））如下表6-1。</w:t>
      </w:r>
    </w:p>
    <w:p>
      <w:pPr>
        <w:widowControl/>
        <w:kinsoku w:val="0"/>
        <w:autoSpaceDE w:val="0"/>
        <w:autoSpaceDN w:val="0"/>
        <w:adjustRightInd w:val="0"/>
        <w:snapToGrid w:val="0"/>
        <w:spacing w:before="217" w:beforeLines="50" w:line="240" w:lineRule="auto"/>
        <w:ind w:firstLine="0" w:firstLineChars="0"/>
        <w:jc w:val="center"/>
        <w:textAlignment w:val="baseline"/>
        <w:rPr>
          <w:rFonts w:ascii="仿宋" w:hAnsi="仿宋" w:eastAsia="仿宋" w:cs="仿宋"/>
          <w:b w:val="0"/>
          <w:bCs/>
          <w:snapToGrid w:val="0"/>
          <w:color w:val="000000" w:themeColor="text1"/>
          <w:spacing w:val="6"/>
          <w:kern w:val="0"/>
          <w:sz w:val="24"/>
          <w:szCs w:val="24"/>
          <w14:textFill>
            <w14:solidFill>
              <w14:schemeClr w14:val="tx1"/>
            </w14:solidFill>
          </w14:textFill>
        </w:rPr>
      </w:pPr>
      <w:r>
        <w:rPr>
          <w:rFonts w:hint="eastAsia" w:ascii="宋体" w:hAnsi="宋体" w:eastAsia="宋体"/>
          <w:b w:val="0"/>
          <w:bCs/>
          <w:color w:val="000000" w:themeColor="text1"/>
          <w:kern w:val="0"/>
          <w:sz w:val="18"/>
          <w:szCs w:val="18"/>
          <w14:textFill>
            <w14:solidFill>
              <w14:schemeClr w14:val="tx1"/>
            </w14:solidFill>
          </w14:textFill>
        </w:rPr>
        <w:t>6-1自身经营价值链碳排放（范围3）</w:t>
      </w:r>
    </w:p>
    <w:tbl>
      <w:tblPr>
        <w:tblStyle w:val="21"/>
        <w:tblW w:w="8364" w:type="dxa"/>
        <w:tblInd w:w="-5" w:type="dxa"/>
        <w:tblLayout w:type="fixed"/>
        <w:tblCellMar>
          <w:top w:w="0" w:type="dxa"/>
          <w:left w:w="108" w:type="dxa"/>
          <w:bottom w:w="0" w:type="dxa"/>
          <w:right w:w="108" w:type="dxa"/>
        </w:tblCellMar>
      </w:tblPr>
      <w:tblGrid>
        <w:gridCol w:w="1245"/>
        <w:gridCol w:w="1307"/>
        <w:gridCol w:w="1417"/>
        <w:gridCol w:w="1276"/>
        <w:gridCol w:w="1701"/>
        <w:gridCol w:w="1418"/>
      </w:tblGrid>
      <w:tr>
        <w:tblPrEx>
          <w:tblCellMar>
            <w:top w:w="0" w:type="dxa"/>
            <w:left w:w="108" w:type="dxa"/>
            <w:bottom w:w="0" w:type="dxa"/>
            <w:right w:w="108" w:type="dxa"/>
          </w:tblCellMar>
        </w:tblPrEx>
        <w:trPr>
          <w:trHeight w:val="270" w:hRule="atLeast"/>
          <w:tblHeader/>
        </w:trPr>
        <w:tc>
          <w:tcPr>
            <w:tcW w:w="2552"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ind w:firstLine="0" w:firstLineChars="0"/>
              <w:jc w:val="center"/>
              <w:rPr>
                <w:rFonts w:ascii="宋体" w:hAnsi="宋体" w:eastAsia="宋体"/>
                <w:b/>
                <w:bCs w:val="0"/>
                <w:color w:val="000000" w:themeColor="text1"/>
                <w:kern w:val="0"/>
                <w:sz w:val="18"/>
                <w:szCs w:val="18"/>
                <w14:textFill>
                  <w14:solidFill>
                    <w14:schemeClr w14:val="tx1"/>
                  </w14:solidFill>
                </w14:textFill>
              </w:rPr>
            </w:pPr>
            <w:r>
              <w:rPr>
                <w:rFonts w:hint="eastAsia" w:ascii="宋体" w:hAnsi="宋体" w:eastAsia="宋体"/>
                <w:b/>
                <w:bCs w:val="0"/>
                <w:color w:val="000000" w:themeColor="text1"/>
                <w:kern w:val="0"/>
                <w:sz w:val="18"/>
                <w:szCs w:val="18"/>
                <w14:textFill>
                  <w14:solidFill>
                    <w14:schemeClr w14:val="tx1"/>
                  </w14:solidFill>
                </w14:textFill>
              </w:rPr>
              <w:t>按范围分</w:t>
            </w:r>
          </w:p>
        </w:tc>
        <w:tc>
          <w:tcPr>
            <w:tcW w:w="2693" w:type="dxa"/>
            <w:gridSpan w:val="2"/>
            <w:tcBorders>
              <w:top w:val="single" w:color="auto" w:sz="4" w:space="0"/>
              <w:left w:val="nil"/>
              <w:bottom w:val="single" w:color="auto" w:sz="4" w:space="0"/>
              <w:right w:val="single" w:color="auto" w:sz="4" w:space="0"/>
            </w:tcBorders>
            <w:shd w:val="clear" w:color="auto" w:fill="auto"/>
            <w:vAlign w:val="center"/>
          </w:tcPr>
          <w:p>
            <w:pPr>
              <w:widowControl/>
              <w:spacing w:line="240" w:lineRule="auto"/>
              <w:ind w:firstLine="0" w:firstLineChars="0"/>
              <w:jc w:val="center"/>
              <w:rPr>
                <w:rFonts w:ascii="宋体" w:hAnsi="宋体" w:eastAsia="宋体"/>
                <w:b/>
                <w:bCs w:val="0"/>
                <w:color w:val="000000" w:themeColor="text1"/>
                <w:kern w:val="0"/>
                <w:sz w:val="18"/>
                <w:szCs w:val="18"/>
                <w14:textFill>
                  <w14:solidFill>
                    <w14:schemeClr w14:val="tx1"/>
                  </w14:solidFill>
                </w14:textFill>
              </w:rPr>
            </w:pPr>
            <w:r>
              <w:rPr>
                <w:rFonts w:hint="eastAsia" w:ascii="宋体" w:hAnsi="宋体" w:eastAsia="宋体"/>
                <w:b/>
                <w:bCs w:val="0"/>
                <w:color w:val="000000" w:themeColor="text1"/>
                <w:kern w:val="0"/>
                <w:sz w:val="18"/>
                <w:szCs w:val="18"/>
                <w14:textFill>
                  <w14:solidFill>
                    <w14:schemeClr w14:val="tx1"/>
                  </w14:solidFill>
                </w14:textFill>
              </w:rPr>
              <w:t>能源资源及地区</w:t>
            </w:r>
          </w:p>
        </w:tc>
        <w:tc>
          <w:tcPr>
            <w:tcW w:w="1701"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ind w:firstLine="0" w:firstLineChars="0"/>
              <w:jc w:val="center"/>
              <w:rPr>
                <w:rFonts w:ascii="宋体" w:hAnsi="宋体" w:eastAsia="宋体"/>
                <w:b/>
                <w:bCs w:val="0"/>
                <w:color w:val="000000" w:themeColor="text1"/>
                <w:kern w:val="0"/>
                <w:sz w:val="18"/>
                <w:szCs w:val="18"/>
                <w14:textFill>
                  <w14:solidFill>
                    <w14:schemeClr w14:val="tx1"/>
                  </w14:solidFill>
                </w14:textFill>
              </w:rPr>
            </w:pPr>
            <w:r>
              <w:rPr>
                <w:rFonts w:hint="eastAsia" w:ascii="宋体" w:hAnsi="宋体" w:eastAsia="宋体"/>
                <w:b/>
                <w:bCs w:val="0"/>
                <w:color w:val="000000" w:themeColor="text1"/>
                <w:kern w:val="0"/>
                <w:sz w:val="18"/>
                <w:szCs w:val="18"/>
                <w14:textFill>
                  <w14:solidFill>
                    <w14:schemeClr w14:val="tx1"/>
                  </w14:solidFill>
                </w14:textFill>
              </w:rPr>
              <w:t>活动水平</w:t>
            </w:r>
          </w:p>
        </w:tc>
        <w:tc>
          <w:tcPr>
            <w:tcW w:w="1418"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ind w:firstLine="0" w:firstLineChars="0"/>
              <w:jc w:val="center"/>
              <w:rPr>
                <w:rFonts w:ascii="宋体" w:hAnsi="宋体" w:eastAsia="宋体"/>
                <w:b/>
                <w:bCs w:val="0"/>
                <w:color w:val="000000" w:themeColor="text1"/>
                <w:kern w:val="0"/>
                <w:sz w:val="18"/>
                <w:szCs w:val="18"/>
                <w14:textFill>
                  <w14:solidFill>
                    <w14:schemeClr w14:val="tx1"/>
                  </w14:solidFill>
                </w14:textFill>
              </w:rPr>
            </w:pPr>
            <w:r>
              <w:rPr>
                <w:rFonts w:hint="eastAsia" w:ascii="宋体" w:hAnsi="宋体" w:eastAsia="宋体"/>
                <w:b/>
                <w:bCs w:val="0"/>
                <w:color w:val="000000" w:themeColor="text1"/>
                <w:kern w:val="0"/>
                <w:sz w:val="18"/>
                <w:szCs w:val="18"/>
                <w14:textFill>
                  <w14:solidFill>
                    <w14:schemeClr w14:val="tx1"/>
                  </w14:solidFill>
                </w14:textFill>
              </w:rPr>
              <w:t>单位</w:t>
            </w:r>
          </w:p>
        </w:tc>
      </w:tr>
      <w:tr>
        <w:tblPrEx>
          <w:tblCellMar>
            <w:top w:w="0" w:type="dxa"/>
            <w:left w:w="108" w:type="dxa"/>
            <w:bottom w:w="0" w:type="dxa"/>
            <w:right w:w="108" w:type="dxa"/>
          </w:tblCellMar>
        </w:tblPrEx>
        <w:trPr>
          <w:trHeight w:val="270" w:hRule="atLeast"/>
        </w:trPr>
        <w:tc>
          <w:tcPr>
            <w:tcW w:w="1245" w:type="dxa"/>
            <w:vMerge w:val="restart"/>
            <w:tcBorders>
              <w:top w:val="nil"/>
              <w:left w:val="single" w:color="auto" w:sz="4" w:space="0"/>
              <w:bottom w:val="single" w:color="auto" w:sz="4" w:space="0"/>
              <w:right w:val="single" w:color="auto" w:sz="4" w:space="0"/>
            </w:tcBorders>
            <w:shd w:val="clear" w:color="auto" w:fill="auto"/>
            <w:vAlign w:val="center"/>
          </w:tcPr>
          <w:p>
            <w:pPr>
              <w:widowControl/>
              <w:spacing w:line="240" w:lineRule="auto"/>
              <w:ind w:firstLine="0" w:firstLineChars="0"/>
              <w:jc w:val="center"/>
              <w:rPr>
                <w:rFonts w:ascii="宋体" w:hAnsi="宋体" w:eastAsia="宋体"/>
                <w:b w:val="0"/>
                <w:bCs/>
                <w:color w:val="000000" w:themeColor="text1"/>
                <w:kern w:val="0"/>
                <w:sz w:val="18"/>
                <w:szCs w:val="18"/>
                <w14:textFill>
                  <w14:solidFill>
                    <w14:schemeClr w14:val="tx1"/>
                  </w14:solidFill>
                </w14:textFill>
              </w:rPr>
            </w:pPr>
            <w:r>
              <w:rPr>
                <w:rFonts w:hint="eastAsia" w:ascii="宋体" w:hAnsi="宋体" w:eastAsia="宋体"/>
                <w:b w:val="0"/>
                <w:bCs/>
                <w:color w:val="000000" w:themeColor="text1"/>
                <w:kern w:val="0"/>
                <w:sz w:val="18"/>
                <w:szCs w:val="18"/>
                <w14:textFill>
                  <w14:solidFill>
                    <w14:schemeClr w14:val="tx1"/>
                  </w14:solidFill>
                </w14:textFill>
              </w:rPr>
              <w:t>价值链碳排放量（范围三（不含投资））</w:t>
            </w:r>
          </w:p>
        </w:tc>
        <w:tc>
          <w:tcPr>
            <w:tcW w:w="1307" w:type="dxa"/>
            <w:vMerge w:val="restart"/>
            <w:tcBorders>
              <w:top w:val="nil"/>
              <w:left w:val="single" w:color="auto" w:sz="4" w:space="0"/>
              <w:bottom w:val="single" w:color="auto" w:sz="4" w:space="0"/>
              <w:right w:val="single" w:color="auto" w:sz="4" w:space="0"/>
            </w:tcBorders>
            <w:shd w:val="clear" w:color="auto" w:fill="auto"/>
            <w:vAlign w:val="center"/>
          </w:tcPr>
          <w:p>
            <w:pPr>
              <w:widowControl/>
              <w:spacing w:line="240" w:lineRule="auto"/>
              <w:ind w:firstLine="0" w:firstLineChars="0"/>
              <w:jc w:val="center"/>
              <w:rPr>
                <w:rFonts w:ascii="宋体" w:hAnsi="宋体" w:eastAsia="宋体"/>
                <w:b w:val="0"/>
                <w:bCs/>
                <w:color w:val="000000" w:themeColor="text1"/>
                <w:kern w:val="0"/>
                <w:sz w:val="18"/>
                <w:szCs w:val="18"/>
                <w14:textFill>
                  <w14:solidFill>
                    <w14:schemeClr w14:val="tx1"/>
                  </w14:solidFill>
                </w14:textFill>
              </w:rPr>
            </w:pPr>
            <w:r>
              <w:rPr>
                <w:rFonts w:hint="eastAsia" w:ascii="宋体" w:hAnsi="宋体" w:eastAsia="宋体"/>
                <w:b w:val="0"/>
                <w:bCs/>
                <w:color w:val="000000" w:themeColor="text1"/>
                <w:kern w:val="0"/>
                <w:sz w:val="18"/>
                <w:szCs w:val="18"/>
                <w14:textFill>
                  <w14:solidFill>
                    <w14:schemeClr w14:val="tx1"/>
                  </w14:solidFill>
                </w14:textFill>
              </w:rPr>
              <w:t>购买商品与服务</w:t>
            </w:r>
          </w:p>
        </w:tc>
        <w:tc>
          <w:tcPr>
            <w:tcW w:w="2693" w:type="dxa"/>
            <w:gridSpan w:val="2"/>
            <w:tcBorders>
              <w:top w:val="single" w:color="auto" w:sz="4" w:space="0"/>
              <w:left w:val="nil"/>
              <w:bottom w:val="single" w:color="auto" w:sz="4" w:space="0"/>
              <w:right w:val="single" w:color="auto" w:sz="4" w:space="0"/>
            </w:tcBorders>
            <w:shd w:val="clear" w:color="auto" w:fill="auto"/>
            <w:vAlign w:val="center"/>
          </w:tcPr>
          <w:p>
            <w:pPr>
              <w:widowControl/>
              <w:spacing w:line="240" w:lineRule="auto"/>
              <w:ind w:firstLine="0" w:firstLineChars="0"/>
              <w:jc w:val="center"/>
              <w:rPr>
                <w:rFonts w:ascii="宋体" w:hAnsi="宋体" w:eastAsia="宋体"/>
                <w:b w:val="0"/>
                <w:bCs/>
                <w:color w:val="000000" w:themeColor="text1"/>
                <w:kern w:val="0"/>
                <w:sz w:val="18"/>
                <w:szCs w:val="18"/>
                <w14:textFill>
                  <w14:solidFill>
                    <w14:schemeClr w14:val="tx1"/>
                  </w14:solidFill>
                </w14:textFill>
              </w:rPr>
            </w:pPr>
            <w:r>
              <w:rPr>
                <w:rFonts w:hint="eastAsia" w:ascii="宋体" w:hAnsi="宋体" w:eastAsia="宋体"/>
                <w:b w:val="0"/>
                <w:bCs/>
                <w:color w:val="000000" w:themeColor="text1"/>
                <w:kern w:val="0"/>
                <w:sz w:val="18"/>
                <w:szCs w:val="18"/>
                <w14:textFill>
                  <w14:solidFill>
                    <w14:schemeClr w14:val="tx1"/>
                  </w14:solidFill>
                </w14:textFill>
              </w:rPr>
              <w:t>水</w:t>
            </w:r>
          </w:p>
        </w:tc>
        <w:tc>
          <w:tcPr>
            <w:tcW w:w="1701" w:type="dxa"/>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center"/>
              <w:rPr>
                <w:rFonts w:hint="default" w:ascii="宋体" w:hAnsi="宋体" w:eastAsia="宋体"/>
                <w:b w:val="0"/>
                <w:bCs/>
                <w:color w:val="000000" w:themeColor="text1"/>
                <w:kern w:val="0"/>
                <w:sz w:val="18"/>
                <w:szCs w:val="18"/>
                <w:lang w:val="en-US" w:eastAsia="zh-CN"/>
                <w14:textFill>
                  <w14:solidFill>
                    <w14:schemeClr w14:val="tx1"/>
                  </w14:solidFill>
                </w14:textFill>
              </w:rPr>
            </w:pPr>
            <w:r>
              <w:rPr>
                <w:rFonts w:hint="eastAsia" w:ascii="宋体" w:hAnsi="宋体" w:eastAsia="宋体"/>
                <w:b w:val="0"/>
                <w:bCs/>
                <w:color w:val="000000" w:themeColor="text1"/>
                <w:kern w:val="0"/>
                <w:sz w:val="18"/>
                <w:szCs w:val="18"/>
                <w:lang w:val="en-US" w:eastAsia="zh-CN"/>
                <w14:textFill>
                  <w14:solidFill>
                    <w14:schemeClr w14:val="tx1"/>
                  </w14:solidFill>
                </w14:textFill>
              </w:rPr>
              <w:t>16000</w:t>
            </w:r>
          </w:p>
        </w:tc>
        <w:tc>
          <w:tcPr>
            <w:tcW w:w="1418" w:type="dxa"/>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center"/>
              <w:rPr>
                <w:rFonts w:ascii="宋体" w:hAnsi="宋体" w:eastAsia="宋体"/>
                <w:b w:val="0"/>
                <w:bCs/>
                <w:color w:val="000000" w:themeColor="text1"/>
                <w:kern w:val="0"/>
                <w:sz w:val="18"/>
                <w:szCs w:val="18"/>
                <w14:textFill>
                  <w14:solidFill>
                    <w14:schemeClr w14:val="tx1"/>
                  </w14:solidFill>
                </w14:textFill>
              </w:rPr>
            </w:pPr>
            <w:r>
              <w:rPr>
                <w:rFonts w:hint="eastAsia" w:ascii="宋体" w:hAnsi="宋体" w:eastAsia="宋体"/>
                <w:b w:val="0"/>
                <w:bCs/>
                <w:color w:val="000000" w:themeColor="text1"/>
                <w:kern w:val="0"/>
                <w:sz w:val="18"/>
                <w:szCs w:val="18"/>
                <w14:textFill>
                  <w14:solidFill>
                    <w14:schemeClr w14:val="tx1"/>
                  </w14:solidFill>
                </w14:textFill>
              </w:rPr>
              <w:t>吨</w:t>
            </w:r>
          </w:p>
        </w:tc>
      </w:tr>
      <w:tr>
        <w:tblPrEx>
          <w:tblCellMar>
            <w:top w:w="0" w:type="dxa"/>
            <w:left w:w="108" w:type="dxa"/>
            <w:bottom w:w="0" w:type="dxa"/>
            <w:right w:w="108" w:type="dxa"/>
          </w:tblCellMar>
        </w:tblPrEx>
        <w:trPr>
          <w:trHeight w:val="270" w:hRule="atLeast"/>
        </w:trPr>
        <w:tc>
          <w:tcPr>
            <w:tcW w:w="1245" w:type="dxa"/>
            <w:vMerge w:val="continue"/>
            <w:tcBorders>
              <w:top w:val="nil"/>
              <w:left w:val="single" w:color="auto" w:sz="4" w:space="0"/>
              <w:bottom w:val="single" w:color="auto" w:sz="4" w:space="0"/>
              <w:right w:val="single" w:color="auto" w:sz="4" w:space="0"/>
            </w:tcBorders>
            <w:vAlign w:val="center"/>
          </w:tcPr>
          <w:p>
            <w:pPr>
              <w:widowControl/>
              <w:spacing w:line="240" w:lineRule="auto"/>
              <w:ind w:firstLine="0" w:firstLineChars="0"/>
              <w:jc w:val="center"/>
              <w:rPr>
                <w:rFonts w:ascii="宋体" w:hAnsi="宋体" w:eastAsia="宋体"/>
                <w:b w:val="0"/>
                <w:bCs/>
                <w:color w:val="000000" w:themeColor="text1"/>
                <w:kern w:val="0"/>
                <w:sz w:val="18"/>
                <w:szCs w:val="18"/>
                <w14:textFill>
                  <w14:solidFill>
                    <w14:schemeClr w14:val="tx1"/>
                  </w14:solidFill>
                </w14:textFill>
              </w:rPr>
            </w:pPr>
          </w:p>
        </w:tc>
        <w:tc>
          <w:tcPr>
            <w:tcW w:w="1307" w:type="dxa"/>
            <w:vMerge w:val="continue"/>
            <w:tcBorders>
              <w:top w:val="nil"/>
              <w:left w:val="single" w:color="auto" w:sz="4" w:space="0"/>
              <w:bottom w:val="single" w:color="auto" w:sz="4" w:space="0"/>
              <w:right w:val="single" w:color="auto" w:sz="4" w:space="0"/>
            </w:tcBorders>
            <w:vAlign w:val="center"/>
          </w:tcPr>
          <w:p>
            <w:pPr>
              <w:widowControl/>
              <w:spacing w:line="240" w:lineRule="auto"/>
              <w:ind w:firstLine="0" w:firstLineChars="0"/>
              <w:jc w:val="center"/>
              <w:rPr>
                <w:rFonts w:ascii="宋体" w:hAnsi="宋体" w:eastAsia="宋体"/>
                <w:b w:val="0"/>
                <w:bCs/>
                <w:color w:val="000000" w:themeColor="text1"/>
                <w:kern w:val="0"/>
                <w:sz w:val="18"/>
                <w:szCs w:val="18"/>
                <w14:textFill>
                  <w14:solidFill>
                    <w14:schemeClr w14:val="tx1"/>
                  </w14:solidFill>
                </w14:textFill>
              </w:rPr>
            </w:pPr>
          </w:p>
        </w:tc>
        <w:tc>
          <w:tcPr>
            <w:tcW w:w="2693"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ind w:firstLine="0" w:firstLineChars="0"/>
              <w:jc w:val="center"/>
              <w:rPr>
                <w:rFonts w:ascii="宋体" w:hAnsi="宋体" w:eastAsia="宋体"/>
                <w:b w:val="0"/>
                <w:bCs/>
                <w:color w:val="000000" w:themeColor="text1"/>
                <w:kern w:val="0"/>
                <w:sz w:val="18"/>
                <w:szCs w:val="18"/>
                <w14:textFill>
                  <w14:solidFill>
                    <w14:schemeClr w14:val="tx1"/>
                  </w14:solidFill>
                </w14:textFill>
              </w:rPr>
            </w:pPr>
            <w:r>
              <w:rPr>
                <w:rFonts w:hint="eastAsia" w:ascii="宋体" w:hAnsi="宋体" w:eastAsia="宋体"/>
                <w:b w:val="0"/>
                <w:bCs/>
                <w:color w:val="000000" w:themeColor="text1"/>
                <w:kern w:val="0"/>
                <w:sz w:val="18"/>
                <w:szCs w:val="18"/>
                <w14:textFill>
                  <w14:solidFill>
                    <w14:schemeClr w14:val="tx1"/>
                  </w14:solidFill>
                </w14:textFill>
              </w:rPr>
              <w:t>纸张（普通A4打印纸）</w:t>
            </w:r>
          </w:p>
        </w:tc>
        <w:tc>
          <w:tcPr>
            <w:tcW w:w="1701" w:type="dxa"/>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center"/>
              <w:rPr>
                <w:rFonts w:ascii="宋体" w:hAnsi="宋体" w:eastAsia="宋体"/>
                <w:b w:val="0"/>
                <w:bCs/>
                <w:color w:val="000000" w:themeColor="text1"/>
                <w:kern w:val="0"/>
                <w:sz w:val="18"/>
                <w:szCs w:val="18"/>
                <w14:textFill>
                  <w14:solidFill>
                    <w14:schemeClr w14:val="tx1"/>
                  </w14:solidFill>
                </w14:textFill>
              </w:rPr>
            </w:pPr>
            <w:r>
              <w:rPr>
                <w:rFonts w:hint="eastAsia" w:ascii="宋体" w:hAnsi="宋体" w:eastAsia="宋体"/>
                <w:b w:val="0"/>
                <w:bCs/>
                <w:color w:val="000000" w:themeColor="text1"/>
                <w:kern w:val="0"/>
                <w:sz w:val="18"/>
                <w:szCs w:val="18"/>
                <w:lang w:val="en-US" w:eastAsia="zh-CN"/>
                <w14:textFill>
                  <w14:solidFill>
                    <w14:schemeClr w14:val="tx1"/>
                  </w14:solidFill>
                </w14:textFill>
              </w:rPr>
              <w:t>45</w:t>
            </w:r>
          </w:p>
        </w:tc>
        <w:tc>
          <w:tcPr>
            <w:tcW w:w="1418" w:type="dxa"/>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center"/>
              <w:rPr>
                <w:rFonts w:ascii="宋体" w:hAnsi="宋体" w:eastAsia="宋体"/>
                <w:b w:val="0"/>
                <w:bCs/>
                <w:color w:val="000000" w:themeColor="text1"/>
                <w:kern w:val="0"/>
                <w:sz w:val="18"/>
                <w:szCs w:val="18"/>
                <w14:textFill>
                  <w14:solidFill>
                    <w14:schemeClr w14:val="tx1"/>
                  </w14:solidFill>
                </w14:textFill>
              </w:rPr>
            </w:pPr>
            <w:r>
              <w:rPr>
                <w:rFonts w:hint="eastAsia" w:ascii="宋体" w:hAnsi="宋体" w:eastAsia="宋体"/>
                <w:b w:val="0"/>
                <w:bCs/>
                <w:color w:val="000000" w:themeColor="text1"/>
                <w:kern w:val="0"/>
                <w:sz w:val="18"/>
                <w:szCs w:val="18"/>
                <w14:textFill>
                  <w14:solidFill>
                    <w14:schemeClr w14:val="tx1"/>
                  </w14:solidFill>
                </w14:textFill>
              </w:rPr>
              <w:t>万张</w:t>
            </w:r>
          </w:p>
        </w:tc>
      </w:tr>
      <w:tr>
        <w:tblPrEx>
          <w:tblCellMar>
            <w:top w:w="0" w:type="dxa"/>
            <w:left w:w="108" w:type="dxa"/>
            <w:bottom w:w="0" w:type="dxa"/>
            <w:right w:w="108" w:type="dxa"/>
          </w:tblCellMar>
        </w:tblPrEx>
        <w:trPr>
          <w:trHeight w:val="270" w:hRule="atLeast"/>
        </w:trPr>
        <w:tc>
          <w:tcPr>
            <w:tcW w:w="1245" w:type="dxa"/>
            <w:vMerge w:val="continue"/>
            <w:tcBorders>
              <w:top w:val="nil"/>
              <w:left w:val="single" w:color="auto" w:sz="4" w:space="0"/>
              <w:bottom w:val="single" w:color="auto" w:sz="4" w:space="0"/>
              <w:right w:val="single" w:color="auto" w:sz="4" w:space="0"/>
            </w:tcBorders>
            <w:vAlign w:val="center"/>
          </w:tcPr>
          <w:p>
            <w:pPr>
              <w:widowControl/>
              <w:spacing w:line="240" w:lineRule="auto"/>
              <w:ind w:firstLine="0" w:firstLineChars="0"/>
              <w:jc w:val="center"/>
              <w:rPr>
                <w:rFonts w:ascii="宋体" w:hAnsi="宋体" w:eastAsia="宋体"/>
                <w:b w:val="0"/>
                <w:bCs/>
                <w:color w:val="000000" w:themeColor="text1"/>
                <w:kern w:val="0"/>
                <w:sz w:val="18"/>
                <w:szCs w:val="18"/>
                <w14:textFill>
                  <w14:solidFill>
                    <w14:schemeClr w14:val="tx1"/>
                  </w14:solidFill>
                </w14:textFill>
              </w:rPr>
            </w:pPr>
          </w:p>
        </w:tc>
        <w:tc>
          <w:tcPr>
            <w:tcW w:w="1307" w:type="dxa"/>
            <w:vMerge w:val="continue"/>
            <w:tcBorders>
              <w:top w:val="nil"/>
              <w:left w:val="single" w:color="auto" w:sz="4" w:space="0"/>
              <w:bottom w:val="single" w:color="auto" w:sz="4" w:space="0"/>
              <w:right w:val="single" w:color="auto" w:sz="4" w:space="0"/>
            </w:tcBorders>
            <w:vAlign w:val="center"/>
          </w:tcPr>
          <w:p>
            <w:pPr>
              <w:widowControl/>
              <w:spacing w:line="240" w:lineRule="auto"/>
              <w:ind w:firstLine="0" w:firstLineChars="0"/>
              <w:jc w:val="center"/>
              <w:rPr>
                <w:rFonts w:ascii="宋体" w:hAnsi="宋体" w:eastAsia="宋体"/>
                <w:b w:val="0"/>
                <w:bCs/>
                <w:color w:val="000000" w:themeColor="text1"/>
                <w:kern w:val="0"/>
                <w:sz w:val="18"/>
                <w:szCs w:val="18"/>
                <w14:textFill>
                  <w14:solidFill>
                    <w14:schemeClr w14:val="tx1"/>
                  </w14:solidFill>
                </w14:textFill>
              </w:rPr>
            </w:pPr>
          </w:p>
        </w:tc>
        <w:tc>
          <w:tcPr>
            <w:tcW w:w="1417" w:type="dxa"/>
            <w:tcBorders>
              <w:top w:val="nil"/>
              <w:left w:val="single" w:color="auto" w:sz="4" w:space="0"/>
              <w:bottom w:val="single" w:color="auto" w:sz="4" w:space="0"/>
              <w:right w:val="single" w:color="auto" w:sz="4" w:space="0"/>
            </w:tcBorders>
            <w:shd w:val="clear" w:color="auto" w:fill="auto"/>
            <w:vAlign w:val="center"/>
          </w:tcPr>
          <w:p>
            <w:pPr>
              <w:widowControl/>
              <w:spacing w:line="240" w:lineRule="auto"/>
              <w:ind w:firstLine="0" w:firstLineChars="0"/>
              <w:jc w:val="center"/>
              <w:rPr>
                <w:rFonts w:ascii="宋体" w:hAnsi="宋体" w:eastAsia="宋体"/>
                <w:b w:val="0"/>
                <w:bCs/>
                <w:color w:val="000000" w:themeColor="text1"/>
                <w:kern w:val="0"/>
                <w:sz w:val="18"/>
                <w:szCs w:val="18"/>
                <w14:textFill>
                  <w14:solidFill>
                    <w14:schemeClr w14:val="tx1"/>
                  </w14:solidFill>
                </w14:textFill>
              </w:rPr>
            </w:pPr>
            <w:r>
              <w:rPr>
                <w:rFonts w:hint="eastAsia" w:ascii="宋体" w:hAnsi="宋体" w:eastAsia="宋体"/>
                <w:b w:val="0"/>
                <w:bCs/>
                <w:color w:val="000000" w:themeColor="text1"/>
                <w:kern w:val="0"/>
                <w:sz w:val="18"/>
                <w:szCs w:val="18"/>
                <w14:textFill>
                  <w14:solidFill>
                    <w14:schemeClr w14:val="tx1"/>
                  </w14:solidFill>
                </w14:textFill>
              </w:rPr>
              <w:t>员工食堂就餐</w:t>
            </w:r>
          </w:p>
        </w:tc>
        <w:tc>
          <w:tcPr>
            <w:tcW w:w="1276" w:type="dxa"/>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center"/>
              <w:rPr>
                <w:rFonts w:ascii="宋体" w:hAnsi="宋体" w:eastAsia="宋体"/>
                <w:b w:val="0"/>
                <w:bCs/>
                <w:color w:val="000000" w:themeColor="text1"/>
                <w:kern w:val="0"/>
                <w:sz w:val="18"/>
                <w:szCs w:val="18"/>
                <w14:textFill>
                  <w14:solidFill>
                    <w14:schemeClr w14:val="tx1"/>
                  </w14:solidFill>
                </w14:textFill>
              </w:rPr>
            </w:pPr>
            <w:r>
              <w:rPr>
                <w:rFonts w:hint="eastAsia" w:ascii="宋体" w:hAnsi="宋体" w:eastAsia="宋体"/>
                <w:b w:val="0"/>
                <w:bCs/>
                <w:color w:val="000000" w:themeColor="text1"/>
                <w:kern w:val="0"/>
                <w:sz w:val="18"/>
                <w:szCs w:val="18"/>
                <w14:textFill>
                  <w14:solidFill>
                    <w14:schemeClr w14:val="tx1"/>
                  </w14:solidFill>
                </w14:textFill>
              </w:rPr>
              <w:t>人数</w:t>
            </w:r>
            <w:r>
              <w:rPr>
                <w:rFonts w:ascii="宋体" w:hAnsi="宋体" w:eastAsia="宋体"/>
                <w:b w:val="0"/>
                <w:bCs/>
                <w:color w:val="000000" w:themeColor="text1"/>
                <w:kern w:val="0"/>
                <w:sz w:val="18"/>
                <w:szCs w:val="18"/>
                <w14:textFill>
                  <w14:solidFill>
                    <w14:schemeClr w14:val="tx1"/>
                  </w14:solidFill>
                </w14:textFill>
              </w:rPr>
              <w:t>(</w:t>
            </w:r>
            <w:r>
              <w:rPr>
                <w:rFonts w:hint="eastAsia" w:ascii="宋体" w:hAnsi="宋体" w:eastAsia="宋体"/>
                <w:b w:val="0"/>
                <w:bCs/>
                <w:color w:val="000000" w:themeColor="text1"/>
                <w:kern w:val="0"/>
                <w:sz w:val="18"/>
                <w:szCs w:val="18"/>
                <w14:textFill>
                  <w14:solidFill>
                    <w14:schemeClr w14:val="tx1"/>
                  </w14:solidFill>
                </w14:textFill>
              </w:rPr>
              <w:t>人均法</w:t>
            </w:r>
            <w:r>
              <w:rPr>
                <w:rFonts w:ascii="宋体" w:hAnsi="宋体" w:eastAsia="宋体"/>
                <w:b w:val="0"/>
                <w:bCs/>
                <w:color w:val="000000" w:themeColor="text1"/>
                <w:kern w:val="0"/>
                <w:sz w:val="18"/>
                <w:szCs w:val="18"/>
                <w14:textFill>
                  <w14:solidFill>
                    <w14:schemeClr w14:val="tx1"/>
                  </w14:solidFill>
                </w14:textFill>
              </w:rPr>
              <w:t>)</w:t>
            </w:r>
          </w:p>
        </w:tc>
        <w:tc>
          <w:tcPr>
            <w:tcW w:w="1701" w:type="dxa"/>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center"/>
              <w:rPr>
                <w:rFonts w:ascii="宋体" w:hAnsi="宋体" w:eastAsia="宋体"/>
                <w:b w:val="0"/>
                <w:bCs/>
                <w:color w:val="000000" w:themeColor="text1"/>
                <w:kern w:val="0"/>
                <w:sz w:val="18"/>
                <w:szCs w:val="18"/>
                <w14:textFill>
                  <w14:solidFill>
                    <w14:schemeClr w14:val="tx1"/>
                  </w14:solidFill>
                </w14:textFill>
              </w:rPr>
            </w:pPr>
            <w:r>
              <w:rPr>
                <w:rFonts w:hint="eastAsia" w:ascii="宋体" w:hAnsi="宋体" w:eastAsia="宋体"/>
                <w:b w:val="0"/>
                <w:bCs/>
                <w:color w:val="000000" w:themeColor="text1"/>
                <w:kern w:val="0"/>
                <w:sz w:val="18"/>
                <w:szCs w:val="18"/>
                <w:lang w:val="en-US" w:eastAsia="zh-CN"/>
                <w14:textFill>
                  <w14:solidFill>
                    <w14:schemeClr w14:val="tx1"/>
                  </w14:solidFill>
                </w14:textFill>
              </w:rPr>
              <w:t>300</w:t>
            </w:r>
          </w:p>
        </w:tc>
        <w:tc>
          <w:tcPr>
            <w:tcW w:w="1418" w:type="dxa"/>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center"/>
              <w:rPr>
                <w:rFonts w:ascii="宋体" w:hAnsi="宋体" w:eastAsia="宋体"/>
                <w:b w:val="0"/>
                <w:bCs/>
                <w:color w:val="000000" w:themeColor="text1"/>
                <w:kern w:val="0"/>
                <w:sz w:val="18"/>
                <w:szCs w:val="18"/>
                <w14:textFill>
                  <w14:solidFill>
                    <w14:schemeClr w14:val="tx1"/>
                  </w14:solidFill>
                </w14:textFill>
              </w:rPr>
            </w:pPr>
            <w:r>
              <w:rPr>
                <w:rFonts w:hint="eastAsia" w:ascii="宋体" w:hAnsi="宋体" w:eastAsia="宋体"/>
                <w:b w:val="0"/>
                <w:bCs/>
                <w:color w:val="000000" w:themeColor="text1"/>
                <w:kern w:val="0"/>
                <w:sz w:val="18"/>
                <w:szCs w:val="18"/>
                <w14:textFill>
                  <w14:solidFill>
                    <w14:schemeClr w14:val="tx1"/>
                  </w14:solidFill>
                </w14:textFill>
              </w:rPr>
              <w:t>人·年</w:t>
            </w:r>
          </w:p>
        </w:tc>
      </w:tr>
      <w:tr>
        <w:tblPrEx>
          <w:tblCellMar>
            <w:top w:w="0" w:type="dxa"/>
            <w:left w:w="108" w:type="dxa"/>
            <w:bottom w:w="0" w:type="dxa"/>
            <w:right w:w="108" w:type="dxa"/>
          </w:tblCellMar>
        </w:tblPrEx>
        <w:trPr>
          <w:trHeight w:val="270" w:hRule="atLeast"/>
        </w:trPr>
        <w:tc>
          <w:tcPr>
            <w:tcW w:w="1245" w:type="dxa"/>
            <w:vMerge w:val="continue"/>
            <w:tcBorders>
              <w:top w:val="nil"/>
              <w:left w:val="single" w:color="auto" w:sz="4" w:space="0"/>
              <w:bottom w:val="single" w:color="auto" w:sz="4" w:space="0"/>
              <w:right w:val="single" w:color="auto" w:sz="4" w:space="0"/>
            </w:tcBorders>
            <w:vAlign w:val="center"/>
          </w:tcPr>
          <w:p>
            <w:pPr>
              <w:widowControl/>
              <w:spacing w:line="240" w:lineRule="auto"/>
              <w:ind w:firstLine="0" w:firstLineChars="0"/>
              <w:jc w:val="center"/>
              <w:rPr>
                <w:rFonts w:ascii="宋体" w:hAnsi="宋体" w:eastAsia="宋体"/>
                <w:b w:val="0"/>
                <w:bCs/>
                <w:color w:val="000000" w:themeColor="text1"/>
                <w:kern w:val="0"/>
                <w:sz w:val="18"/>
                <w:szCs w:val="18"/>
                <w14:textFill>
                  <w14:solidFill>
                    <w14:schemeClr w14:val="tx1"/>
                  </w14:solidFill>
                </w14:textFill>
              </w:rPr>
            </w:pPr>
          </w:p>
        </w:tc>
        <w:tc>
          <w:tcPr>
            <w:tcW w:w="1307" w:type="dxa"/>
            <w:vMerge w:val="restart"/>
            <w:tcBorders>
              <w:top w:val="nil"/>
              <w:left w:val="single" w:color="auto" w:sz="4" w:space="0"/>
              <w:bottom w:val="nil"/>
              <w:right w:val="single" w:color="auto" w:sz="4" w:space="0"/>
            </w:tcBorders>
            <w:shd w:val="clear" w:color="auto" w:fill="auto"/>
            <w:noWrap/>
            <w:vAlign w:val="center"/>
          </w:tcPr>
          <w:p>
            <w:pPr>
              <w:widowControl/>
              <w:spacing w:line="240" w:lineRule="auto"/>
              <w:ind w:firstLine="0" w:firstLineChars="0"/>
              <w:jc w:val="center"/>
              <w:rPr>
                <w:rFonts w:ascii="宋体" w:hAnsi="宋体" w:eastAsia="宋体"/>
                <w:b w:val="0"/>
                <w:bCs/>
                <w:color w:val="000000" w:themeColor="text1"/>
                <w:kern w:val="0"/>
                <w:sz w:val="18"/>
                <w:szCs w:val="18"/>
                <w14:textFill>
                  <w14:solidFill>
                    <w14:schemeClr w14:val="tx1"/>
                  </w14:solidFill>
                </w14:textFill>
              </w:rPr>
            </w:pPr>
            <w:r>
              <w:rPr>
                <w:rFonts w:hint="eastAsia" w:ascii="宋体" w:hAnsi="宋体" w:eastAsia="宋体"/>
                <w:b w:val="0"/>
                <w:bCs/>
                <w:color w:val="000000" w:themeColor="text1"/>
                <w:kern w:val="0"/>
                <w:sz w:val="18"/>
                <w:szCs w:val="18"/>
                <w14:textFill>
                  <w14:solidFill>
                    <w14:schemeClr w14:val="tx1"/>
                  </w14:solidFill>
                </w14:textFill>
              </w:rPr>
              <w:t>上游运输和配送</w:t>
            </w:r>
          </w:p>
        </w:tc>
        <w:tc>
          <w:tcPr>
            <w:tcW w:w="1417" w:type="dxa"/>
            <w:vMerge w:val="restart"/>
            <w:tcBorders>
              <w:top w:val="nil"/>
              <w:left w:val="single" w:color="auto" w:sz="4" w:space="0"/>
              <w:bottom w:val="single" w:color="000000" w:sz="4" w:space="0"/>
              <w:right w:val="single" w:color="auto" w:sz="4" w:space="0"/>
            </w:tcBorders>
            <w:shd w:val="clear" w:color="auto" w:fill="auto"/>
            <w:vAlign w:val="center"/>
          </w:tcPr>
          <w:p>
            <w:pPr>
              <w:widowControl/>
              <w:spacing w:line="240" w:lineRule="auto"/>
              <w:ind w:firstLine="0" w:firstLineChars="0"/>
              <w:jc w:val="center"/>
              <w:rPr>
                <w:rFonts w:ascii="宋体" w:hAnsi="宋体" w:eastAsia="宋体"/>
                <w:b w:val="0"/>
                <w:bCs/>
                <w:color w:val="000000" w:themeColor="text1"/>
                <w:kern w:val="0"/>
                <w:sz w:val="18"/>
                <w:szCs w:val="18"/>
                <w14:textFill>
                  <w14:solidFill>
                    <w14:schemeClr w14:val="tx1"/>
                  </w14:solidFill>
                </w14:textFill>
              </w:rPr>
            </w:pPr>
            <w:r>
              <w:rPr>
                <w:rFonts w:hint="eastAsia" w:ascii="宋体" w:hAnsi="宋体" w:eastAsia="宋体"/>
                <w:b w:val="0"/>
                <w:bCs/>
                <w:color w:val="000000" w:themeColor="text1"/>
                <w:kern w:val="0"/>
                <w:sz w:val="18"/>
                <w:szCs w:val="18"/>
                <w14:textFill>
                  <w14:solidFill>
                    <w14:schemeClr w14:val="tx1"/>
                  </w14:solidFill>
                </w14:textFill>
              </w:rPr>
              <w:t>外包班车</w:t>
            </w:r>
          </w:p>
        </w:tc>
        <w:tc>
          <w:tcPr>
            <w:tcW w:w="1276" w:type="dxa"/>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center"/>
              <w:rPr>
                <w:rFonts w:ascii="宋体" w:hAnsi="宋体" w:eastAsia="宋体"/>
                <w:b w:val="0"/>
                <w:bCs/>
                <w:color w:val="000000" w:themeColor="text1"/>
                <w:kern w:val="0"/>
                <w:sz w:val="18"/>
                <w:szCs w:val="18"/>
                <w14:textFill>
                  <w14:solidFill>
                    <w14:schemeClr w14:val="tx1"/>
                  </w14:solidFill>
                </w14:textFill>
              </w:rPr>
            </w:pPr>
            <w:r>
              <w:rPr>
                <w:rFonts w:hint="eastAsia" w:ascii="宋体" w:hAnsi="宋体" w:eastAsia="宋体"/>
                <w:b w:val="0"/>
                <w:bCs/>
                <w:color w:val="000000" w:themeColor="text1"/>
                <w:kern w:val="0"/>
                <w:sz w:val="18"/>
                <w:szCs w:val="18"/>
                <w14:textFill>
                  <w14:solidFill>
                    <w14:schemeClr w14:val="tx1"/>
                  </w14:solidFill>
                </w14:textFill>
              </w:rPr>
              <w:t>汽油小客车</w:t>
            </w:r>
          </w:p>
        </w:tc>
        <w:tc>
          <w:tcPr>
            <w:tcW w:w="1701" w:type="dxa"/>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center"/>
              <w:rPr>
                <w:rFonts w:ascii="宋体" w:hAnsi="宋体" w:eastAsia="宋体"/>
                <w:b w:val="0"/>
                <w:bCs/>
                <w:color w:val="000000" w:themeColor="text1"/>
                <w:kern w:val="0"/>
                <w:sz w:val="18"/>
                <w:szCs w:val="18"/>
                <w14:textFill>
                  <w14:solidFill>
                    <w14:schemeClr w14:val="tx1"/>
                  </w14:solidFill>
                </w14:textFill>
              </w:rPr>
            </w:pPr>
            <w:r>
              <w:rPr>
                <w:rFonts w:hint="eastAsia" w:ascii="宋体" w:hAnsi="宋体" w:eastAsia="宋体"/>
                <w:b w:val="0"/>
                <w:bCs/>
                <w:color w:val="000000" w:themeColor="text1"/>
                <w:kern w:val="0"/>
                <w:sz w:val="18"/>
                <w:szCs w:val="18"/>
                <w:lang w:val="en-US" w:eastAsia="zh-CN"/>
                <w14:textFill>
                  <w14:solidFill>
                    <w14:schemeClr w14:val="tx1"/>
                  </w14:solidFill>
                </w14:textFill>
              </w:rPr>
              <w:t>0</w:t>
            </w:r>
          </w:p>
        </w:tc>
        <w:tc>
          <w:tcPr>
            <w:tcW w:w="1418" w:type="dxa"/>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center"/>
              <w:rPr>
                <w:rFonts w:ascii="宋体" w:hAnsi="宋体" w:eastAsia="宋体"/>
                <w:b w:val="0"/>
                <w:bCs/>
                <w:color w:val="000000" w:themeColor="text1"/>
                <w:kern w:val="0"/>
                <w:sz w:val="18"/>
                <w:szCs w:val="18"/>
                <w14:textFill>
                  <w14:solidFill>
                    <w14:schemeClr w14:val="tx1"/>
                  </w14:solidFill>
                </w14:textFill>
              </w:rPr>
            </w:pPr>
            <w:r>
              <w:rPr>
                <w:rFonts w:hint="eastAsia" w:ascii="宋体" w:hAnsi="宋体" w:eastAsia="宋体"/>
                <w:b w:val="0"/>
                <w:bCs/>
                <w:color w:val="000000" w:themeColor="text1"/>
                <w:kern w:val="0"/>
                <w:sz w:val="18"/>
                <w:szCs w:val="18"/>
                <w14:textFill>
                  <w14:solidFill>
                    <w14:schemeClr w14:val="tx1"/>
                  </w14:solidFill>
                </w14:textFill>
              </w:rPr>
              <w:t>人·千米</w:t>
            </w:r>
          </w:p>
        </w:tc>
      </w:tr>
      <w:tr>
        <w:tblPrEx>
          <w:tblCellMar>
            <w:top w:w="0" w:type="dxa"/>
            <w:left w:w="108" w:type="dxa"/>
            <w:bottom w:w="0" w:type="dxa"/>
            <w:right w:w="108" w:type="dxa"/>
          </w:tblCellMar>
        </w:tblPrEx>
        <w:trPr>
          <w:trHeight w:val="270" w:hRule="atLeast"/>
        </w:trPr>
        <w:tc>
          <w:tcPr>
            <w:tcW w:w="1245" w:type="dxa"/>
            <w:vMerge w:val="continue"/>
            <w:tcBorders>
              <w:top w:val="nil"/>
              <w:left w:val="single" w:color="auto" w:sz="4" w:space="0"/>
              <w:bottom w:val="single" w:color="auto" w:sz="4" w:space="0"/>
              <w:right w:val="single" w:color="auto" w:sz="4" w:space="0"/>
            </w:tcBorders>
            <w:vAlign w:val="center"/>
          </w:tcPr>
          <w:p>
            <w:pPr>
              <w:widowControl/>
              <w:spacing w:line="240" w:lineRule="auto"/>
              <w:ind w:firstLine="0" w:firstLineChars="0"/>
              <w:jc w:val="center"/>
              <w:rPr>
                <w:rFonts w:ascii="宋体" w:hAnsi="宋体" w:eastAsia="宋体"/>
                <w:b w:val="0"/>
                <w:bCs/>
                <w:color w:val="000000" w:themeColor="text1"/>
                <w:kern w:val="0"/>
                <w:sz w:val="18"/>
                <w:szCs w:val="18"/>
                <w14:textFill>
                  <w14:solidFill>
                    <w14:schemeClr w14:val="tx1"/>
                  </w14:solidFill>
                </w14:textFill>
              </w:rPr>
            </w:pPr>
          </w:p>
        </w:tc>
        <w:tc>
          <w:tcPr>
            <w:tcW w:w="1307" w:type="dxa"/>
            <w:vMerge w:val="continue"/>
            <w:tcBorders>
              <w:top w:val="nil"/>
              <w:left w:val="single" w:color="auto" w:sz="4" w:space="0"/>
              <w:bottom w:val="nil"/>
              <w:right w:val="single" w:color="auto" w:sz="4" w:space="0"/>
            </w:tcBorders>
            <w:vAlign w:val="center"/>
          </w:tcPr>
          <w:p>
            <w:pPr>
              <w:widowControl/>
              <w:spacing w:line="240" w:lineRule="auto"/>
              <w:ind w:firstLine="0" w:firstLineChars="0"/>
              <w:jc w:val="center"/>
              <w:rPr>
                <w:rFonts w:ascii="宋体" w:hAnsi="宋体" w:eastAsia="宋体"/>
                <w:b w:val="0"/>
                <w:bCs/>
                <w:color w:val="000000" w:themeColor="text1"/>
                <w:kern w:val="0"/>
                <w:sz w:val="18"/>
                <w:szCs w:val="18"/>
                <w14:textFill>
                  <w14:solidFill>
                    <w14:schemeClr w14:val="tx1"/>
                  </w14:solidFill>
                </w14:textFill>
              </w:rPr>
            </w:pPr>
          </w:p>
        </w:tc>
        <w:tc>
          <w:tcPr>
            <w:tcW w:w="1417" w:type="dxa"/>
            <w:vMerge w:val="continue"/>
            <w:tcBorders>
              <w:top w:val="nil"/>
              <w:left w:val="single" w:color="auto" w:sz="4" w:space="0"/>
              <w:bottom w:val="single" w:color="000000" w:sz="4" w:space="0"/>
              <w:right w:val="single" w:color="auto" w:sz="4" w:space="0"/>
            </w:tcBorders>
            <w:vAlign w:val="center"/>
          </w:tcPr>
          <w:p>
            <w:pPr>
              <w:widowControl/>
              <w:spacing w:line="240" w:lineRule="auto"/>
              <w:ind w:firstLine="0" w:firstLineChars="0"/>
              <w:jc w:val="center"/>
              <w:rPr>
                <w:rFonts w:ascii="宋体" w:hAnsi="宋体" w:eastAsia="宋体"/>
                <w:b w:val="0"/>
                <w:bCs/>
                <w:color w:val="000000" w:themeColor="text1"/>
                <w:kern w:val="0"/>
                <w:sz w:val="18"/>
                <w:szCs w:val="18"/>
                <w14:textFill>
                  <w14:solidFill>
                    <w14:schemeClr w14:val="tx1"/>
                  </w14:solidFill>
                </w14:textFill>
              </w:rPr>
            </w:pPr>
          </w:p>
        </w:tc>
        <w:tc>
          <w:tcPr>
            <w:tcW w:w="1276" w:type="dxa"/>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center"/>
              <w:rPr>
                <w:rFonts w:ascii="宋体" w:hAnsi="宋体" w:eastAsia="宋体"/>
                <w:b w:val="0"/>
                <w:bCs/>
                <w:color w:val="000000" w:themeColor="text1"/>
                <w:kern w:val="0"/>
                <w:sz w:val="18"/>
                <w:szCs w:val="18"/>
                <w14:textFill>
                  <w14:solidFill>
                    <w14:schemeClr w14:val="tx1"/>
                  </w14:solidFill>
                </w14:textFill>
              </w:rPr>
            </w:pPr>
            <w:r>
              <w:rPr>
                <w:rFonts w:hint="eastAsia" w:ascii="宋体" w:hAnsi="宋体" w:eastAsia="宋体"/>
                <w:b w:val="0"/>
                <w:bCs/>
                <w:color w:val="000000" w:themeColor="text1"/>
                <w:kern w:val="0"/>
                <w:sz w:val="18"/>
                <w:szCs w:val="18"/>
                <w14:textFill>
                  <w14:solidFill>
                    <w14:schemeClr w14:val="tx1"/>
                  </w14:solidFill>
                </w14:textFill>
              </w:rPr>
              <w:t>柴油小客车</w:t>
            </w:r>
          </w:p>
        </w:tc>
        <w:tc>
          <w:tcPr>
            <w:tcW w:w="1701" w:type="dxa"/>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center"/>
              <w:rPr>
                <w:rFonts w:ascii="宋体" w:hAnsi="宋体" w:eastAsia="宋体"/>
                <w:b w:val="0"/>
                <w:bCs/>
                <w:color w:val="000000" w:themeColor="text1"/>
                <w:kern w:val="0"/>
                <w:sz w:val="18"/>
                <w:szCs w:val="18"/>
                <w14:textFill>
                  <w14:solidFill>
                    <w14:schemeClr w14:val="tx1"/>
                  </w14:solidFill>
                </w14:textFill>
              </w:rPr>
            </w:pPr>
            <w:r>
              <w:rPr>
                <w:rFonts w:hint="eastAsia" w:ascii="宋体" w:hAnsi="宋体" w:eastAsia="宋体"/>
                <w:b w:val="0"/>
                <w:bCs/>
                <w:color w:val="000000" w:themeColor="text1"/>
                <w:kern w:val="0"/>
                <w:sz w:val="18"/>
                <w:szCs w:val="18"/>
                <w:lang w:val="en-US" w:eastAsia="zh-CN"/>
                <w14:textFill>
                  <w14:solidFill>
                    <w14:schemeClr w14:val="tx1"/>
                  </w14:solidFill>
                </w14:textFill>
              </w:rPr>
              <w:t>0</w:t>
            </w:r>
          </w:p>
        </w:tc>
        <w:tc>
          <w:tcPr>
            <w:tcW w:w="1418" w:type="dxa"/>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center"/>
              <w:rPr>
                <w:rFonts w:ascii="宋体" w:hAnsi="宋体" w:eastAsia="宋体"/>
                <w:b w:val="0"/>
                <w:bCs/>
                <w:color w:val="000000" w:themeColor="text1"/>
                <w:kern w:val="0"/>
                <w:sz w:val="18"/>
                <w:szCs w:val="18"/>
                <w14:textFill>
                  <w14:solidFill>
                    <w14:schemeClr w14:val="tx1"/>
                  </w14:solidFill>
                </w14:textFill>
              </w:rPr>
            </w:pPr>
            <w:r>
              <w:rPr>
                <w:rFonts w:hint="eastAsia" w:ascii="宋体" w:hAnsi="宋体" w:eastAsia="宋体"/>
                <w:b w:val="0"/>
                <w:bCs/>
                <w:color w:val="000000" w:themeColor="text1"/>
                <w:kern w:val="0"/>
                <w:sz w:val="18"/>
                <w:szCs w:val="18"/>
                <w14:textFill>
                  <w14:solidFill>
                    <w14:schemeClr w14:val="tx1"/>
                  </w14:solidFill>
                </w14:textFill>
              </w:rPr>
              <w:t>人·千米</w:t>
            </w:r>
          </w:p>
        </w:tc>
      </w:tr>
      <w:tr>
        <w:tblPrEx>
          <w:tblCellMar>
            <w:top w:w="0" w:type="dxa"/>
            <w:left w:w="108" w:type="dxa"/>
            <w:bottom w:w="0" w:type="dxa"/>
            <w:right w:w="108" w:type="dxa"/>
          </w:tblCellMar>
        </w:tblPrEx>
        <w:trPr>
          <w:trHeight w:val="270" w:hRule="atLeast"/>
        </w:trPr>
        <w:tc>
          <w:tcPr>
            <w:tcW w:w="1245" w:type="dxa"/>
            <w:vMerge w:val="continue"/>
            <w:tcBorders>
              <w:top w:val="nil"/>
              <w:left w:val="single" w:color="auto" w:sz="4" w:space="0"/>
              <w:bottom w:val="single" w:color="auto" w:sz="4" w:space="0"/>
              <w:right w:val="single" w:color="auto" w:sz="4" w:space="0"/>
            </w:tcBorders>
            <w:vAlign w:val="center"/>
          </w:tcPr>
          <w:p>
            <w:pPr>
              <w:widowControl/>
              <w:spacing w:line="240" w:lineRule="auto"/>
              <w:ind w:firstLine="0" w:firstLineChars="0"/>
              <w:jc w:val="center"/>
              <w:rPr>
                <w:rFonts w:ascii="宋体" w:hAnsi="宋体" w:eastAsia="宋体"/>
                <w:b w:val="0"/>
                <w:bCs/>
                <w:color w:val="000000" w:themeColor="text1"/>
                <w:kern w:val="0"/>
                <w:sz w:val="18"/>
                <w:szCs w:val="18"/>
                <w14:textFill>
                  <w14:solidFill>
                    <w14:schemeClr w14:val="tx1"/>
                  </w14:solidFill>
                </w14:textFill>
              </w:rPr>
            </w:pPr>
          </w:p>
        </w:tc>
        <w:tc>
          <w:tcPr>
            <w:tcW w:w="1307" w:type="dxa"/>
            <w:vMerge w:val="continue"/>
            <w:tcBorders>
              <w:top w:val="nil"/>
              <w:left w:val="single" w:color="auto" w:sz="4" w:space="0"/>
              <w:bottom w:val="nil"/>
              <w:right w:val="single" w:color="auto" w:sz="4" w:space="0"/>
            </w:tcBorders>
            <w:vAlign w:val="center"/>
          </w:tcPr>
          <w:p>
            <w:pPr>
              <w:widowControl/>
              <w:spacing w:line="240" w:lineRule="auto"/>
              <w:ind w:firstLine="0" w:firstLineChars="0"/>
              <w:jc w:val="center"/>
              <w:rPr>
                <w:rFonts w:ascii="宋体" w:hAnsi="宋体" w:eastAsia="宋体"/>
                <w:b w:val="0"/>
                <w:bCs/>
                <w:color w:val="000000" w:themeColor="text1"/>
                <w:kern w:val="0"/>
                <w:sz w:val="18"/>
                <w:szCs w:val="18"/>
                <w14:textFill>
                  <w14:solidFill>
                    <w14:schemeClr w14:val="tx1"/>
                  </w14:solidFill>
                </w14:textFill>
              </w:rPr>
            </w:pPr>
          </w:p>
        </w:tc>
        <w:tc>
          <w:tcPr>
            <w:tcW w:w="1417" w:type="dxa"/>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center"/>
              <w:rPr>
                <w:rFonts w:ascii="宋体" w:hAnsi="宋体" w:eastAsia="宋体"/>
                <w:b w:val="0"/>
                <w:bCs/>
                <w:color w:val="000000" w:themeColor="text1"/>
                <w:kern w:val="0"/>
                <w:sz w:val="18"/>
                <w:szCs w:val="18"/>
                <w14:textFill>
                  <w14:solidFill>
                    <w14:schemeClr w14:val="tx1"/>
                  </w14:solidFill>
                </w14:textFill>
              </w:rPr>
            </w:pPr>
            <w:r>
              <w:rPr>
                <w:rFonts w:hint="eastAsia" w:ascii="宋体" w:hAnsi="宋体" w:eastAsia="宋体"/>
                <w:b w:val="0"/>
                <w:bCs/>
                <w:color w:val="000000" w:themeColor="text1"/>
                <w:kern w:val="0"/>
                <w:sz w:val="18"/>
                <w:szCs w:val="18"/>
                <w14:textFill>
                  <w14:solidFill>
                    <w14:schemeClr w14:val="tx1"/>
                  </w14:solidFill>
                </w14:textFill>
              </w:rPr>
              <w:t>押解车辆</w:t>
            </w:r>
          </w:p>
        </w:tc>
        <w:tc>
          <w:tcPr>
            <w:tcW w:w="1276" w:type="dxa"/>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center"/>
              <w:rPr>
                <w:rFonts w:ascii="宋体" w:hAnsi="宋体" w:eastAsia="宋体"/>
                <w:b w:val="0"/>
                <w:bCs/>
                <w:color w:val="000000" w:themeColor="text1"/>
                <w:kern w:val="0"/>
                <w:sz w:val="18"/>
                <w:szCs w:val="18"/>
                <w14:textFill>
                  <w14:solidFill>
                    <w14:schemeClr w14:val="tx1"/>
                  </w14:solidFill>
                </w14:textFill>
              </w:rPr>
            </w:pPr>
            <w:r>
              <w:rPr>
                <w:rFonts w:hint="eastAsia" w:ascii="宋体" w:hAnsi="宋体" w:eastAsia="宋体"/>
                <w:b w:val="0"/>
                <w:bCs/>
                <w:color w:val="000000" w:themeColor="text1"/>
                <w:kern w:val="0"/>
                <w:sz w:val="18"/>
                <w:szCs w:val="18"/>
                <w14:textFill>
                  <w14:solidFill>
                    <w14:schemeClr w14:val="tx1"/>
                  </w14:solidFill>
                </w14:textFill>
              </w:rPr>
              <w:t>轻型货车</w:t>
            </w:r>
          </w:p>
        </w:tc>
        <w:tc>
          <w:tcPr>
            <w:tcW w:w="1701" w:type="dxa"/>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center"/>
              <w:rPr>
                <w:rFonts w:ascii="宋体" w:hAnsi="宋体" w:eastAsia="宋体"/>
                <w:b w:val="0"/>
                <w:bCs/>
                <w:color w:val="000000" w:themeColor="text1"/>
                <w:kern w:val="0"/>
                <w:sz w:val="18"/>
                <w:szCs w:val="18"/>
                <w14:textFill>
                  <w14:solidFill>
                    <w14:schemeClr w14:val="tx1"/>
                  </w14:solidFill>
                </w14:textFill>
              </w:rPr>
            </w:pPr>
            <w:r>
              <w:rPr>
                <w:rFonts w:hint="eastAsia" w:ascii="宋体" w:hAnsi="宋体" w:eastAsia="宋体"/>
                <w:b w:val="0"/>
                <w:bCs/>
                <w:color w:val="000000" w:themeColor="text1"/>
                <w:kern w:val="0"/>
                <w:sz w:val="18"/>
                <w:szCs w:val="18"/>
                <w:lang w:val="en-US" w:eastAsia="zh-CN"/>
                <w14:textFill>
                  <w14:solidFill>
                    <w14:schemeClr w14:val="tx1"/>
                  </w14:solidFill>
                </w14:textFill>
              </w:rPr>
              <w:t>60000</w:t>
            </w:r>
          </w:p>
        </w:tc>
        <w:tc>
          <w:tcPr>
            <w:tcW w:w="1418" w:type="dxa"/>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center"/>
              <w:rPr>
                <w:rFonts w:ascii="宋体" w:hAnsi="宋体" w:eastAsia="宋体"/>
                <w:b w:val="0"/>
                <w:bCs/>
                <w:color w:val="000000" w:themeColor="text1"/>
                <w:kern w:val="0"/>
                <w:sz w:val="18"/>
                <w:szCs w:val="18"/>
                <w14:textFill>
                  <w14:solidFill>
                    <w14:schemeClr w14:val="tx1"/>
                  </w14:solidFill>
                </w14:textFill>
              </w:rPr>
            </w:pPr>
            <w:r>
              <w:rPr>
                <w:rFonts w:hint="eastAsia" w:ascii="宋体" w:hAnsi="宋体" w:eastAsia="宋体"/>
                <w:b w:val="0"/>
                <w:bCs/>
                <w:color w:val="000000" w:themeColor="text1"/>
                <w:kern w:val="0"/>
                <w:sz w:val="18"/>
                <w:szCs w:val="18"/>
                <w14:textFill>
                  <w14:solidFill>
                    <w14:schemeClr w14:val="tx1"/>
                  </w14:solidFill>
                </w14:textFill>
              </w:rPr>
              <w:t>吨·千米</w:t>
            </w:r>
          </w:p>
        </w:tc>
      </w:tr>
      <w:tr>
        <w:tblPrEx>
          <w:tblCellMar>
            <w:top w:w="0" w:type="dxa"/>
            <w:left w:w="108" w:type="dxa"/>
            <w:bottom w:w="0" w:type="dxa"/>
            <w:right w:w="108" w:type="dxa"/>
          </w:tblCellMar>
        </w:tblPrEx>
        <w:trPr>
          <w:trHeight w:val="270" w:hRule="atLeast"/>
        </w:trPr>
        <w:tc>
          <w:tcPr>
            <w:tcW w:w="1245" w:type="dxa"/>
            <w:vMerge w:val="continue"/>
            <w:tcBorders>
              <w:top w:val="nil"/>
              <w:left w:val="single" w:color="auto" w:sz="4" w:space="0"/>
              <w:bottom w:val="single" w:color="auto" w:sz="4" w:space="0"/>
              <w:right w:val="single" w:color="auto" w:sz="4" w:space="0"/>
            </w:tcBorders>
            <w:vAlign w:val="center"/>
          </w:tcPr>
          <w:p>
            <w:pPr>
              <w:widowControl/>
              <w:spacing w:line="240" w:lineRule="auto"/>
              <w:ind w:firstLine="0" w:firstLineChars="0"/>
              <w:jc w:val="center"/>
              <w:rPr>
                <w:rFonts w:ascii="宋体" w:hAnsi="宋体" w:eastAsia="宋体"/>
                <w:b w:val="0"/>
                <w:bCs/>
                <w:color w:val="000000" w:themeColor="text1"/>
                <w:kern w:val="0"/>
                <w:sz w:val="18"/>
                <w:szCs w:val="18"/>
                <w14:textFill>
                  <w14:solidFill>
                    <w14:schemeClr w14:val="tx1"/>
                  </w14:solidFill>
                </w14:textFill>
              </w:rPr>
            </w:pPr>
          </w:p>
        </w:tc>
        <w:tc>
          <w:tcPr>
            <w:tcW w:w="1307"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240" w:lineRule="auto"/>
              <w:ind w:firstLine="0" w:firstLineChars="0"/>
              <w:jc w:val="center"/>
              <w:rPr>
                <w:rFonts w:ascii="宋体" w:hAnsi="宋体" w:eastAsia="宋体"/>
                <w:b w:val="0"/>
                <w:bCs/>
                <w:color w:val="000000" w:themeColor="text1"/>
                <w:kern w:val="0"/>
                <w:sz w:val="18"/>
                <w:szCs w:val="18"/>
                <w14:textFill>
                  <w14:solidFill>
                    <w14:schemeClr w14:val="tx1"/>
                  </w14:solidFill>
                </w14:textFill>
              </w:rPr>
            </w:pPr>
            <w:r>
              <w:rPr>
                <w:rFonts w:hint="eastAsia" w:ascii="宋体" w:hAnsi="宋体" w:eastAsia="宋体"/>
                <w:b w:val="0"/>
                <w:bCs/>
                <w:color w:val="000000" w:themeColor="text1"/>
                <w:kern w:val="0"/>
                <w:sz w:val="18"/>
                <w:szCs w:val="18"/>
                <w14:textFill>
                  <w14:solidFill>
                    <w14:schemeClr w14:val="tx1"/>
                  </w14:solidFill>
                </w14:textFill>
              </w:rPr>
              <w:t>运营中产生的废物</w:t>
            </w:r>
          </w:p>
        </w:tc>
        <w:tc>
          <w:tcPr>
            <w:tcW w:w="1417" w:type="dxa"/>
            <w:vMerge w:val="restart"/>
            <w:tcBorders>
              <w:top w:val="nil"/>
              <w:left w:val="single" w:color="auto" w:sz="4" w:space="0"/>
              <w:bottom w:val="single" w:color="000000" w:sz="4" w:space="0"/>
              <w:right w:val="single" w:color="auto" w:sz="4" w:space="0"/>
            </w:tcBorders>
            <w:shd w:val="clear" w:color="auto" w:fill="auto"/>
            <w:vAlign w:val="center"/>
          </w:tcPr>
          <w:p>
            <w:pPr>
              <w:widowControl/>
              <w:spacing w:line="240" w:lineRule="auto"/>
              <w:ind w:firstLine="0" w:firstLineChars="0"/>
              <w:jc w:val="center"/>
              <w:rPr>
                <w:rFonts w:ascii="宋体" w:hAnsi="宋体" w:eastAsia="宋体"/>
                <w:b w:val="0"/>
                <w:bCs/>
                <w:color w:val="000000" w:themeColor="text1"/>
                <w:kern w:val="0"/>
                <w:sz w:val="18"/>
                <w:szCs w:val="18"/>
                <w14:textFill>
                  <w14:solidFill>
                    <w14:schemeClr w14:val="tx1"/>
                  </w14:solidFill>
                </w14:textFill>
              </w:rPr>
            </w:pPr>
            <w:r>
              <w:rPr>
                <w:rFonts w:hint="eastAsia" w:ascii="宋体" w:hAnsi="宋体" w:eastAsia="宋体"/>
                <w:b w:val="0"/>
                <w:bCs/>
                <w:color w:val="000000" w:themeColor="text1"/>
                <w:kern w:val="0"/>
                <w:sz w:val="18"/>
                <w:szCs w:val="18"/>
                <w14:textFill>
                  <w14:solidFill>
                    <w14:schemeClr w14:val="tx1"/>
                  </w14:solidFill>
                </w14:textFill>
              </w:rPr>
              <w:t>废弃物处置</w:t>
            </w:r>
          </w:p>
        </w:tc>
        <w:tc>
          <w:tcPr>
            <w:tcW w:w="1276" w:type="dxa"/>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center"/>
              <w:rPr>
                <w:rFonts w:ascii="宋体" w:hAnsi="宋体" w:eastAsia="宋体"/>
                <w:b w:val="0"/>
                <w:bCs/>
                <w:color w:val="000000" w:themeColor="text1"/>
                <w:kern w:val="0"/>
                <w:sz w:val="18"/>
                <w:szCs w:val="18"/>
                <w14:textFill>
                  <w14:solidFill>
                    <w14:schemeClr w14:val="tx1"/>
                  </w14:solidFill>
                </w14:textFill>
              </w:rPr>
            </w:pPr>
            <w:r>
              <w:rPr>
                <w:rFonts w:hint="eastAsia" w:ascii="宋体" w:hAnsi="宋体" w:eastAsia="宋体"/>
                <w:b w:val="0"/>
                <w:bCs/>
                <w:color w:val="000000" w:themeColor="text1"/>
                <w:kern w:val="0"/>
                <w:sz w:val="18"/>
                <w:szCs w:val="18"/>
                <w14:textFill>
                  <w14:solidFill>
                    <w14:schemeClr w14:val="tx1"/>
                  </w14:solidFill>
                </w14:textFill>
              </w:rPr>
              <w:t>其他垃圾</w:t>
            </w:r>
          </w:p>
        </w:tc>
        <w:tc>
          <w:tcPr>
            <w:tcW w:w="1701" w:type="dxa"/>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center"/>
              <w:rPr>
                <w:rFonts w:ascii="宋体" w:hAnsi="宋体" w:eastAsia="宋体"/>
                <w:b w:val="0"/>
                <w:bCs/>
                <w:color w:val="000000" w:themeColor="text1"/>
                <w:kern w:val="0"/>
                <w:sz w:val="18"/>
                <w:szCs w:val="18"/>
                <w14:textFill>
                  <w14:solidFill>
                    <w14:schemeClr w14:val="tx1"/>
                  </w14:solidFill>
                </w14:textFill>
              </w:rPr>
            </w:pPr>
            <w:r>
              <w:rPr>
                <w:rFonts w:hint="eastAsia" w:ascii="宋体" w:hAnsi="宋体" w:eastAsia="宋体"/>
                <w:b w:val="0"/>
                <w:bCs/>
                <w:color w:val="000000" w:themeColor="text1"/>
                <w:kern w:val="0"/>
                <w:sz w:val="18"/>
                <w:szCs w:val="18"/>
                <w:lang w:val="en-US" w:eastAsia="zh-CN"/>
                <w14:textFill>
                  <w14:solidFill>
                    <w14:schemeClr w14:val="tx1"/>
                  </w14:solidFill>
                </w14:textFill>
              </w:rPr>
              <w:t>7</w:t>
            </w:r>
          </w:p>
        </w:tc>
        <w:tc>
          <w:tcPr>
            <w:tcW w:w="1418" w:type="dxa"/>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center"/>
              <w:rPr>
                <w:rFonts w:ascii="宋体" w:hAnsi="宋体" w:eastAsia="宋体"/>
                <w:b w:val="0"/>
                <w:bCs/>
                <w:color w:val="000000" w:themeColor="text1"/>
                <w:kern w:val="0"/>
                <w:sz w:val="18"/>
                <w:szCs w:val="18"/>
                <w14:textFill>
                  <w14:solidFill>
                    <w14:schemeClr w14:val="tx1"/>
                  </w14:solidFill>
                </w14:textFill>
              </w:rPr>
            </w:pPr>
            <w:r>
              <w:rPr>
                <w:rFonts w:hint="eastAsia" w:ascii="宋体" w:hAnsi="宋体" w:eastAsia="宋体"/>
                <w:b w:val="0"/>
                <w:bCs/>
                <w:color w:val="000000" w:themeColor="text1"/>
                <w:kern w:val="0"/>
                <w:sz w:val="18"/>
                <w:szCs w:val="18"/>
                <w14:textFill>
                  <w14:solidFill>
                    <w14:schemeClr w14:val="tx1"/>
                  </w14:solidFill>
                </w14:textFill>
              </w:rPr>
              <w:t>吨</w:t>
            </w:r>
          </w:p>
        </w:tc>
      </w:tr>
      <w:tr>
        <w:tblPrEx>
          <w:tblCellMar>
            <w:top w:w="0" w:type="dxa"/>
            <w:left w:w="108" w:type="dxa"/>
            <w:bottom w:w="0" w:type="dxa"/>
            <w:right w:w="108" w:type="dxa"/>
          </w:tblCellMar>
        </w:tblPrEx>
        <w:trPr>
          <w:trHeight w:val="270" w:hRule="atLeast"/>
        </w:trPr>
        <w:tc>
          <w:tcPr>
            <w:tcW w:w="1245" w:type="dxa"/>
            <w:vMerge w:val="continue"/>
            <w:tcBorders>
              <w:top w:val="nil"/>
              <w:left w:val="single" w:color="auto" w:sz="4" w:space="0"/>
              <w:bottom w:val="single" w:color="auto" w:sz="4" w:space="0"/>
              <w:right w:val="single" w:color="auto" w:sz="4" w:space="0"/>
            </w:tcBorders>
            <w:vAlign w:val="center"/>
          </w:tcPr>
          <w:p>
            <w:pPr>
              <w:widowControl/>
              <w:spacing w:line="240" w:lineRule="auto"/>
              <w:ind w:firstLine="0" w:firstLineChars="0"/>
              <w:jc w:val="center"/>
              <w:rPr>
                <w:rFonts w:ascii="宋体" w:hAnsi="宋体" w:eastAsia="宋体"/>
                <w:b w:val="0"/>
                <w:bCs/>
                <w:color w:val="000000" w:themeColor="text1"/>
                <w:kern w:val="0"/>
                <w:sz w:val="18"/>
                <w:szCs w:val="18"/>
                <w14:textFill>
                  <w14:solidFill>
                    <w14:schemeClr w14:val="tx1"/>
                  </w14:solidFill>
                </w14:textFill>
              </w:rPr>
            </w:pPr>
          </w:p>
        </w:tc>
        <w:tc>
          <w:tcPr>
            <w:tcW w:w="1307"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auto"/>
              <w:ind w:firstLine="0" w:firstLineChars="0"/>
              <w:jc w:val="center"/>
              <w:rPr>
                <w:rFonts w:ascii="宋体" w:hAnsi="宋体" w:eastAsia="宋体"/>
                <w:b w:val="0"/>
                <w:bCs/>
                <w:color w:val="000000" w:themeColor="text1"/>
                <w:kern w:val="0"/>
                <w:sz w:val="18"/>
                <w:szCs w:val="18"/>
                <w14:textFill>
                  <w14:solidFill>
                    <w14:schemeClr w14:val="tx1"/>
                  </w14:solidFill>
                </w14:textFill>
              </w:rPr>
            </w:pPr>
          </w:p>
        </w:tc>
        <w:tc>
          <w:tcPr>
            <w:tcW w:w="1417" w:type="dxa"/>
            <w:vMerge w:val="continue"/>
            <w:tcBorders>
              <w:top w:val="nil"/>
              <w:left w:val="single" w:color="auto" w:sz="4" w:space="0"/>
              <w:bottom w:val="single" w:color="000000" w:sz="4" w:space="0"/>
              <w:right w:val="single" w:color="auto" w:sz="4" w:space="0"/>
            </w:tcBorders>
            <w:vAlign w:val="center"/>
          </w:tcPr>
          <w:p>
            <w:pPr>
              <w:widowControl/>
              <w:spacing w:line="240" w:lineRule="auto"/>
              <w:ind w:firstLine="0" w:firstLineChars="0"/>
              <w:jc w:val="center"/>
              <w:rPr>
                <w:rFonts w:ascii="宋体" w:hAnsi="宋体" w:eastAsia="宋体"/>
                <w:b w:val="0"/>
                <w:bCs/>
                <w:color w:val="000000" w:themeColor="text1"/>
                <w:kern w:val="0"/>
                <w:sz w:val="18"/>
                <w:szCs w:val="18"/>
                <w14:textFill>
                  <w14:solidFill>
                    <w14:schemeClr w14:val="tx1"/>
                  </w14:solidFill>
                </w14:textFill>
              </w:rPr>
            </w:pPr>
          </w:p>
        </w:tc>
        <w:tc>
          <w:tcPr>
            <w:tcW w:w="1276" w:type="dxa"/>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center"/>
              <w:rPr>
                <w:rFonts w:ascii="宋体" w:hAnsi="宋体" w:eastAsia="宋体"/>
                <w:b w:val="0"/>
                <w:bCs/>
                <w:color w:val="000000" w:themeColor="text1"/>
                <w:kern w:val="0"/>
                <w:sz w:val="18"/>
                <w:szCs w:val="18"/>
                <w14:textFill>
                  <w14:solidFill>
                    <w14:schemeClr w14:val="tx1"/>
                  </w14:solidFill>
                </w14:textFill>
              </w:rPr>
            </w:pPr>
            <w:r>
              <w:rPr>
                <w:rFonts w:hint="eastAsia" w:ascii="宋体" w:hAnsi="宋体" w:eastAsia="宋体"/>
                <w:b w:val="0"/>
                <w:bCs/>
                <w:color w:val="000000" w:themeColor="text1"/>
                <w:kern w:val="0"/>
                <w:sz w:val="18"/>
                <w:szCs w:val="18"/>
                <w14:textFill>
                  <w14:solidFill>
                    <w14:schemeClr w14:val="tx1"/>
                  </w14:solidFill>
                </w14:textFill>
              </w:rPr>
              <w:t>厨余垃圾</w:t>
            </w:r>
          </w:p>
        </w:tc>
        <w:tc>
          <w:tcPr>
            <w:tcW w:w="1701" w:type="dxa"/>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center"/>
              <w:rPr>
                <w:rFonts w:ascii="宋体" w:hAnsi="宋体" w:eastAsia="宋体"/>
                <w:b w:val="0"/>
                <w:bCs/>
                <w:color w:val="000000" w:themeColor="text1"/>
                <w:kern w:val="0"/>
                <w:sz w:val="18"/>
                <w:szCs w:val="18"/>
                <w14:textFill>
                  <w14:solidFill>
                    <w14:schemeClr w14:val="tx1"/>
                  </w14:solidFill>
                </w14:textFill>
              </w:rPr>
            </w:pPr>
            <w:r>
              <w:rPr>
                <w:rFonts w:hint="eastAsia" w:ascii="宋体" w:hAnsi="宋体" w:eastAsia="宋体"/>
                <w:b w:val="0"/>
                <w:bCs/>
                <w:color w:val="000000" w:themeColor="text1"/>
                <w:kern w:val="0"/>
                <w:sz w:val="18"/>
                <w:szCs w:val="18"/>
                <w:lang w:val="en-US" w:eastAsia="zh-CN"/>
                <w14:textFill>
                  <w14:solidFill>
                    <w14:schemeClr w14:val="tx1"/>
                  </w14:solidFill>
                </w14:textFill>
              </w:rPr>
              <w:t>5.55</w:t>
            </w:r>
          </w:p>
        </w:tc>
        <w:tc>
          <w:tcPr>
            <w:tcW w:w="1418" w:type="dxa"/>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center"/>
              <w:rPr>
                <w:rFonts w:ascii="宋体" w:hAnsi="宋体" w:eastAsia="宋体"/>
                <w:b w:val="0"/>
                <w:bCs/>
                <w:color w:val="000000" w:themeColor="text1"/>
                <w:kern w:val="0"/>
                <w:sz w:val="18"/>
                <w:szCs w:val="18"/>
                <w14:textFill>
                  <w14:solidFill>
                    <w14:schemeClr w14:val="tx1"/>
                  </w14:solidFill>
                </w14:textFill>
              </w:rPr>
            </w:pPr>
            <w:r>
              <w:rPr>
                <w:rFonts w:hint="eastAsia" w:ascii="宋体" w:hAnsi="宋体" w:eastAsia="宋体"/>
                <w:b w:val="0"/>
                <w:bCs/>
                <w:color w:val="000000" w:themeColor="text1"/>
                <w:kern w:val="0"/>
                <w:sz w:val="18"/>
                <w:szCs w:val="18"/>
                <w14:textFill>
                  <w14:solidFill>
                    <w14:schemeClr w14:val="tx1"/>
                  </w14:solidFill>
                </w14:textFill>
              </w:rPr>
              <w:t>吨</w:t>
            </w:r>
          </w:p>
        </w:tc>
      </w:tr>
      <w:tr>
        <w:tblPrEx>
          <w:tblCellMar>
            <w:top w:w="0" w:type="dxa"/>
            <w:left w:w="108" w:type="dxa"/>
            <w:bottom w:w="0" w:type="dxa"/>
            <w:right w:w="108" w:type="dxa"/>
          </w:tblCellMar>
        </w:tblPrEx>
        <w:trPr>
          <w:trHeight w:val="270" w:hRule="atLeast"/>
        </w:trPr>
        <w:tc>
          <w:tcPr>
            <w:tcW w:w="1245" w:type="dxa"/>
            <w:vMerge w:val="continue"/>
            <w:tcBorders>
              <w:top w:val="nil"/>
              <w:left w:val="single" w:color="auto" w:sz="4" w:space="0"/>
              <w:bottom w:val="single" w:color="auto" w:sz="4" w:space="0"/>
              <w:right w:val="single" w:color="auto" w:sz="4" w:space="0"/>
            </w:tcBorders>
            <w:vAlign w:val="center"/>
          </w:tcPr>
          <w:p>
            <w:pPr>
              <w:widowControl/>
              <w:spacing w:line="240" w:lineRule="auto"/>
              <w:ind w:firstLine="0" w:firstLineChars="0"/>
              <w:jc w:val="center"/>
              <w:rPr>
                <w:rFonts w:ascii="宋体" w:hAnsi="宋体" w:eastAsia="宋体"/>
                <w:b w:val="0"/>
                <w:bCs/>
                <w:color w:val="000000" w:themeColor="text1"/>
                <w:kern w:val="0"/>
                <w:sz w:val="18"/>
                <w:szCs w:val="18"/>
                <w14:textFill>
                  <w14:solidFill>
                    <w14:schemeClr w14:val="tx1"/>
                  </w14:solidFill>
                </w14:textFill>
              </w:rPr>
            </w:pPr>
          </w:p>
        </w:tc>
        <w:tc>
          <w:tcPr>
            <w:tcW w:w="1307" w:type="dxa"/>
            <w:vMerge w:val="restart"/>
            <w:tcBorders>
              <w:top w:val="nil"/>
              <w:left w:val="single" w:color="auto" w:sz="4" w:space="0"/>
              <w:bottom w:val="single" w:color="auto" w:sz="4" w:space="0"/>
              <w:right w:val="single" w:color="auto" w:sz="4" w:space="0"/>
            </w:tcBorders>
            <w:shd w:val="clear" w:color="auto" w:fill="auto"/>
            <w:vAlign w:val="center"/>
          </w:tcPr>
          <w:p>
            <w:pPr>
              <w:widowControl/>
              <w:spacing w:line="240" w:lineRule="auto"/>
              <w:ind w:firstLine="0" w:firstLineChars="0"/>
              <w:jc w:val="center"/>
              <w:rPr>
                <w:rFonts w:ascii="宋体" w:hAnsi="宋体" w:eastAsia="宋体"/>
                <w:b w:val="0"/>
                <w:bCs/>
                <w:color w:val="000000" w:themeColor="text1"/>
                <w:kern w:val="0"/>
                <w:sz w:val="18"/>
                <w:szCs w:val="18"/>
                <w14:textFill>
                  <w14:solidFill>
                    <w14:schemeClr w14:val="tx1"/>
                  </w14:solidFill>
                </w14:textFill>
              </w:rPr>
            </w:pPr>
            <w:r>
              <w:rPr>
                <w:rFonts w:hint="eastAsia" w:ascii="宋体" w:hAnsi="宋体" w:eastAsia="宋体"/>
                <w:b w:val="0"/>
                <w:bCs/>
                <w:color w:val="000000" w:themeColor="text1"/>
                <w:kern w:val="0"/>
                <w:sz w:val="18"/>
                <w:szCs w:val="18"/>
                <w14:textFill>
                  <w14:solidFill>
                    <w14:schemeClr w14:val="tx1"/>
                  </w14:solidFill>
                </w14:textFill>
              </w:rPr>
              <w:t>差旅</w:t>
            </w:r>
          </w:p>
        </w:tc>
        <w:tc>
          <w:tcPr>
            <w:tcW w:w="1417" w:type="dxa"/>
            <w:vMerge w:val="restart"/>
            <w:tcBorders>
              <w:top w:val="nil"/>
              <w:left w:val="single" w:color="auto" w:sz="4" w:space="0"/>
              <w:bottom w:val="single" w:color="auto" w:sz="4" w:space="0"/>
              <w:right w:val="single" w:color="auto" w:sz="4" w:space="0"/>
            </w:tcBorders>
            <w:shd w:val="clear" w:color="auto" w:fill="auto"/>
            <w:vAlign w:val="center"/>
          </w:tcPr>
          <w:p>
            <w:pPr>
              <w:widowControl/>
              <w:spacing w:line="240" w:lineRule="auto"/>
              <w:ind w:firstLine="0" w:firstLineChars="0"/>
              <w:jc w:val="center"/>
              <w:rPr>
                <w:rFonts w:ascii="宋体" w:hAnsi="宋体" w:eastAsia="宋体"/>
                <w:b w:val="0"/>
                <w:bCs/>
                <w:color w:val="000000" w:themeColor="text1"/>
                <w:kern w:val="0"/>
                <w:sz w:val="18"/>
                <w:szCs w:val="18"/>
                <w14:textFill>
                  <w14:solidFill>
                    <w14:schemeClr w14:val="tx1"/>
                  </w14:solidFill>
                </w14:textFill>
              </w:rPr>
            </w:pPr>
            <w:r>
              <w:rPr>
                <w:rFonts w:hint="eastAsia" w:ascii="宋体" w:hAnsi="宋体" w:eastAsia="宋体"/>
                <w:b w:val="0"/>
                <w:bCs/>
                <w:color w:val="000000" w:themeColor="text1"/>
                <w:kern w:val="0"/>
                <w:sz w:val="18"/>
                <w:szCs w:val="18"/>
                <w14:textFill>
                  <w14:solidFill>
                    <w14:schemeClr w14:val="tx1"/>
                  </w14:solidFill>
                </w14:textFill>
              </w:rPr>
              <w:t>员工差旅出行</w:t>
            </w:r>
          </w:p>
        </w:tc>
        <w:tc>
          <w:tcPr>
            <w:tcW w:w="1276" w:type="dxa"/>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center"/>
              <w:rPr>
                <w:rFonts w:ascii="宋体" w:hAnsi="宋体" w:eastAsia="宋体"/>
                <w:b w:val="0"/>
                <w:bCs/>
                <w:color w:val="000000" w:themeColor="text1"/>
                <w:kern w:val="0"/>
                <w:sz w:val="18"/>
                <w:szCs w:val="18"/>
                <w14:textFill>
                  <w14:solidFill>
                    <w14:schemeClr w14:val="tx1"/>
                  </w14:solidFill>
                </w14:textFill>
              </w:rPr>
            </w:pPr>
            <w:r>
              <w:rPr>
                <w:rFonts w:hint="eastAsia" w:ascii="宋体" w:hAnsi="宋体" w:eastAsia="宋体"/>
                <w:b w:val="0"/>
                <w:bCs/>
                <w:color w:val="000000" w:themeColor="text1"/>
                <w:kern w:val="0"/>
                <w:sz w:val="18"/>
                <w:szCs w:val="18"/>
                <w14:textFill>
                  <w14:solidFill>
                    <w14:schemeClr w14:val="tx1"/>
                  </w14:solidFill>
                </w14:textFill>
              </w:rPr>
              <w:t>航空（客运）</w:t>
            </w:r>
          </w:p>
        </w:tc>
        <w:tc>
          <w:tcPr>
            <w:tcW w:w="1701" w:type="dxa"/>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center"/>
              <w:rPr>
                <w:rFonts w:ascii="宋体" w:hAnsi="宋体" w:eastAsia="宋体"/>
                <w:b w:val="0"/>
                <w:bCs/>
                <w:color w:val="000000" w:themeColor="text1"/>
                <w:kern w:val="0"/>
                <w:sz w:val="18"/>
                <w:szCs w:val="18"/>
                <w14:textFill>
                  <w14:solidFill>
                    <w14:schemeClr w14:val="tx1"/>
                  </w14:solidFill>
                </w14:textFill>
              </w:rPr>
            </w:pPr>
            <w:r>
              <w:rPr>
                <w:rFonts w:hint="eastAsia" w:ascii="宋体" w:hAnsi="宋体" w:eastAsia="宋体"/>
                <w:b w:val="0"/>
                <w:bCs/>
                <w:color w:val="000000" w:themeColor="text1"/>
                <w:kern w:val="0"/>
                <w:sz w:val="18"/>
                <w:szCs w:val="18"/>
                <w:lang w:val="en-US" w:eastAsia="zh-CN"/>
                <w14:textFill>
                  <w14:solidFill>
                    <w14:schemeClr w14:val="tx1"/>
                  </w14:solidFill>
                </w14:textFill>
              </w:rPr>
              <w:t>4300</w:t>
            </w:r>
          </w:p>
        </w:tc>
        <w:tc>
          <w:tcPr>
            <w:tcW w:w="1418" w:type="dxa"/>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center"/>
              <w:rPr>
                <w:rFonts w:ascii="宋体" w:hAnsi="宋体" w:eastAsia="宋体"/>
                <w:b w:val="0"/>
                <w:bCs/>
                <w:color w:val="000000" w:themeColor="text1"/>
                <w:kern w:val="0"/>
                <w:sz w:val="18"/>
                <w:szCs w:val="18"/>
                <w14:textFill>
                  <w14:solidFill>
                    <w14:schemeClr w14:val="tx1"/>
                  </w14:solidFill>
                </w14:textFill>
              </w:rPr>
            </w:pPr>
            <w:r>
              <w:rPr>
                <w:rFonts w:hint="eastAsia" w:ascii="宋体" w:hAnsi="宋体" w:eastAsia="宋体"/>
                <w:b w:val="0"/>
                <w:bCs/>
                <w:color w:val="000000" w:themeColor="text1"/>
                <w:kern w:val="0"/>
                <w:sz w:val="18"/>
                <w:szCs w:val="18"/>
                <w14:textFill>
                  <w14:solidFill>
                    <w14:schemeClr w14:val="tx1"/>
                  </w14:solidFill>
                </w14:textFill>
              </w:rPr>
              <w:t>人·千米</w:t>
            </w:r>
          </w:p>
        </w:tc>
      </w:tr>
      <w:tr>
        <w:tblPrEx>
          <w:tblCellMar>
            <w:top w:w="0" w:type="dxa"/>
            <w:left w:w="108" w:type="dxa"/>
            <w:bottom w:w="0" w:type="dxa"/>
            <w:right w:w="108" w:type="dxa"/>
          </w:tblCellMar>
        </w:tblPrEx>
        <w:trPr>
          <w:trHeight w:val="270" w:hRule="atLeast"/>
        </w:trPr>
        <w:tc>
          <w:tcPr>
            <w:tcW w:w="1245" w:type="dxa"/>
            <w:vMerge w:val="continue"/>
            <w:tcBorders>
              <w:top w:val="nil"/>
              <w:left w:val="single" w:color="auto" w:sz="4" w:space="0"/>
              <w:bottom w:val="single" w:color="auto" w:sz="4" w:space="0"/>
              <w:right w:val="single" w:color="auto" w:sz="4" w:space="0"/>
            </w:tcBorders>
            <w:vAlign w:val="center"/>
          </w:tcPr>
          <w:p>
            <w:pPr>
              <w:widowControl/>
              <w:spacing w:line="240" w:lineRule="auto"/>
              <w:ind w:firstLine="0" w:firstLineChars="0"/>
              <w:jc w:val="center"/>
              <w:rPr>
                <w:rFonts w:ascii="宋体" w:hAnsi="宋体" w:eastAsia="宋体"/>
                <w:b w:val="0"/>
                <w:bCs/>
                <w:color w:val="000000" w:themeColor="text1"/>
                <w:kern w:val="0"/>
                <w:sz w:val="18"/>
                <w:szCs w:val="18"/>
                <w14:textFill>
                  <w14:solidFill>
                    <w14:schemeClr w14:val="tx1"/>
                  </w14:solidFill>
                </w14:textFill>
              </w:rPr>
            </w:pPr>
          </w:p>
        </w:tc>
        <w:tc>
          <w:tcPr>
            <w:tcW w:w="1307" w:type="dxa"/>
            <w:vMerge w:val="continue"/>
            <w:tcBorders>
              <w:top w:val="nil"/>
              <w:left w:val="single" w:color="auto" w:sz="4" w:space="0"/>
              <w:bottom w:val="single" w:color="auto" w:sz="4" w:space="0"/>
              <w:right w:val="single" w:color="auto" w:sz="4" w:space="0"/>
            </w:tcBorders>
            <w:vAlign w:val="center"/>
          </w:tcPr>
          <w:p>
            <w:pPr>
              <w:widowControl/>
              <w:spacing w:line="240" w:lineRule="auto"/>
              <w:ind w:firstLine="0" w:firstLineChars="0"/>
              <w:jc w:val="center"/>
              <w:rPr>
                <w:rFonts w:ascii="宋体" w:hAnsi="宋体" w:eastAsia="宋体"/>
                <w:b w:val="0"/>
                <w:bCs/>
                <w:color w:val="000000" w:themeColor="text1"/>
                <w:kern w:val="0"/>
                <w:sz w:val="18"/>
                <w:szCs w:val="18"/>
                <w14:textFill>
                  <w14:solidFill>
                    <w14:schemeClr w14:val="tx1"/>
                  </w14:solidFill>
                </w14:textFill>
              </w:rPr>
            </w:pPr>
          </w:p>
        </w:tc>
        <w:tc>
          <w:tcPr>
            <w:tcW w:w="1417" w:type="dxa"/>
            <w:vMerge w:val="continue"/>
            <w:tcBorders>
              <w:top w:val="nil"/>
              <w:left w:val="single" w:color="auto" w:sz="4" w:space="0"/>
              <w:bottom w:val="single" w:color="auto" w:sz="4" w:space="0"/>
              <w:right w:val="single" w:color="auto" w:sz="4" w:space="0"/>
            </w:tcBorders>
            <w:vAlign w:val="center"/>
          </w:tcPr>
          <w:p>
            <w:pPr>
              <w:widowControl/>
              <w:spacing w:line="240" w:lineRule="auto"/>
              <w:ind w:firstLine="0" w:firstLineChars="0"/>
              <w:jc w:val="center"/>
              <w:rPr>
                <w:rFonts w:ascii="宋体" w:hAnsi="宋体" w:eastAsia="宋体"/>
                <w:b w:val="0"/>
                <w:bCs/>
                <w:color w:val="000000" w:themeColor="text1"/>
                <w:kern w:val="0"/>
                <w:sz w:val="18"/>
                <w:szCs w:val="18"/>
                <w14:textFill>
                  <w14:solidFill>
                    <w14:schemeClr w14:val="tx1"/>
                  </w14:solidFill>
                </w14:textFill>
              </w:rPr>
            </w:pPr>
          </w:p>
        </w:tc>
        <w:tc>
          <w:tcPr>
            <w:tcW w:w="1276" w:type="dxa"/>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center"/>
              <w:rPr>
                <w:rFonts w:ascii="宋体" w:hAnsi="宋体" w:eastAsia="宋体"/>
                <w:b w:val="0"/>
                <w:bCs/>
                <w:color w:val="000000" w:themeColor="text1"/>
                <w:kern w:val="0"/>
                <w:sz w:val="18"/>
                <w:szCs w:val="18"/>
                <w14:textFill>
                  <w14:solidFill>
                    <w14:schemeClr w14:val="tx1"/>
                  </w14:solidFill>
                </w14:textFill>
              </w:rPr>
            </w:pPr>
            <w:r>
              <w:rPr>
                <w:rFonts w:hint="eastAsia" w:ascii="宋体" w:hAnsi="宋体" w:eastAsia="宋体"/>
                <w:b w:val="0"/>
                <w:bCs/>
                <w:color w:val="000000" w:themeColor="text1"/>
                <w:kern w:val="0"/>
                <w:sz w:val="18"/>
                <w:szCs w:val="18"/>
                <w14:textFill>
                  <w14:solidFill>
                    <w14:schemeClr w14:val="tx1"/>
                  </w14:solidFill>
                </w14:textFill>
              </w:rPr>
              <w:t>铁路（客运）</w:t>
            </w:r>
          </w:p>
        </w:tc>
        <w:tc>
          <w:tcPr>
            <w:tcW w:w="1701" w:type="dxa"/>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center"/>
              <w:rPr>
                <w:rFonts w:ascii="宋体" w:hAnsi="宋体" w:eastAsia="宋体"/>
                <w:b w:val="0"/>
                <w:bCs/>
                <w:color w:val="000000" w:themeColor="text1"/>
                <w:kern w:val="0"/>
                <w:sz w:val="18"/>
                <w:szCs w:val="18"/>
                <w14:textFill>
                  <w14:solidFill>
                    <w14:schemeClr w14:val="tx1"/>
                  </w14:solidFill>
                </w14:textFill>
              </w:rPr>
            </w:pPr>
            <w:r>
              <w:rPr>
                <w:rFonts w:hint="eastAsia" w:ascii="宋体" w:hAnsi="宋体" w:eastAsia="宋体"/>
                <w:b w:val="0"/>
                <w:bCs/>
                <w:color w:val="000000" w:themeColor="text1"/>
                <w:kern w:val="0"/>
                <w:sz w:val="18"/>
                <w:szCs w:val="18"/>
                <w:lang w:val="en-US" w:eastAsia="zh-CN"/>
                <w14:textFill>
                  <w14:solidFill>
                    <w14:schemeClr w14:val="tx1"/>
                  </w14:solidFill>
                </w14:textFill>
              </w:rPr>
              <w:t>13000</w:t>
            </w:r>
          </w:p>
        </w:tc>
        <w:tc>
          <w:tcPr>
            <w:tcW w:w="1418" w:type="dxa"/>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center"/>
              <w:rPr>
                <w:rFonts w:ascii="宋体" w:hAnsi="宋体" w:eastAsia="宋体"/>
                <w:b w:val="0"/>
                <w:bCs/>
                <w:color w:val="000000" w:themeColor="text1"/>
                <w:kern w:val="0"/>
                <w:sz w:val="18"/>
                <w:szCs w:val="18"/>
                <w14:textFill>
                  <w14:solidFill>
                    <w14:schemeClr w14:val="tx1"/>
                  </w14:solidFill>
                </w14:textFill>
              </w:rPr>
            </w:pPr>
            <w:r>
              <w:rPr>
                <w:rFonts w:hint="eastAsia" w:ascii="宋体" w:hAnsi="宋体" w:eastAsia="宋体"/>
                <w:b w:val="0"/>
                <w:bCs/>
                <w:color w:val="000000" w:themeColor="text1"/>
                <w:kern w:val="0"/>
                <w:sz w:val="18"/>
                <w:szCs w:val="18"/>
                <w14:textFill>
                  <w14:solidFill>
                    <w14:schemeClr w14:val="tx1"/>
                  </w14:solidFill>
                </w14:textFill>
              </w:rPr>
              <w:t>人·千米</w:t>
            </w:r>
          </w:p>
        </w:tc>
      </w:tr>
      <w:tr>
        <w:tblPrEx>
          <w:tblCellMar>
            <w:top w:w="0" w:type="dxa"/>
            <w:left w:w="108" w:type="dxa"/>
            <w:bottom w:w="0" w:type="dxa"/>
            <w:right w:w="108" w:type="dxa"/>
          </w:tblCellMar>
        </w:tblPrEx>
        <w:trPr>
          <w:trHeight w:val="270" w:hRule="atLeast"/>
        </w:trPr>
        <w:tc>
          <w:tcPr>
            <w:tcW w:w="1245" w:type="dxa"/>
            <w:vMerge w:val="continue"/>
            <w:tcBorders>
              <w:top w:val="nil"/>
              <w:left w:val="single" w:color="auto" w:sz="4" w:space="0"/>
              <w:bottom w:val="single" w:color="auto" w:sz="4" w:space="0"/>
              <w:right w:val="single" w:color="auto" w:sz="4" w:space="0"/>
            </w:tcBorders>
            <w:vAlign w:val="center"/>
          </w:tcPr>
          <w:p>
            <w:pPr>
              <w:widowControl/>
              <w:spacing w:line="240" w:lineRule="auto"/>
              <w:ind w:firstLine="0" w:firstLineChars="0"/>
              <w:jc w:val="center"/>
              <w:rPr>
                <w:rFonts w:ascii="宋体" w:hAnsi="宋体" w:eastAsia="宋体"/>
                <w:b w:val="0"/>
                <w:bCs/>
                <w:color w:val="000000" w:themeColor="text1"/>
                <w:kern w:val="0"/>
                <w:sz w:val="18"/>
                <w:szCs w:val="18"/>
                <w14:textFill>
                  <w14:solidFill>
                    <w14:schemeClr w14:val="tx1"/>
                  </w14:solidFill>
                </w14:textFill>
              </w:rPr>
            </w:pPr>
          </w:p>
        </w:tc>
        <w:tc>
          <w:tcPr>
            <w:tcW w:w="1307" w:type="dxa"/>
            <w:vMerge w:val="continue"/>
            <w:tcBorders>
              <w:top w:val="nil"/>
              <w:left w:val="single" w:color="auto" w:sz="4" w:space="0"/>
              <w:bottom w:val="single" w:color="auto" w:sz="4" w:space="0"/>
              <w:right w:val="single" w:color="auto" w:sz="4" w:space="0"/>
            </w:tcBorders>
            <w:vAlign w:val="center"/>
          </w:tcPr>
          <w:p>
            <w:pPr>
              <w:widowControl/>
              <w:spacing w:line="240" w:lineRule="auto"/>
              <w:ind w:firstLine="0" w:firstLineChars="0"/>
              <w:jc w:val="center"/>
              <w:rPr>
                <w:rFonts w:ascii="宋体" w:hAnsi="宋体" w:eastAsia="宋体"/>
                <w:b w:val="0"/>
                <w:bCs/>
                <w:color w:val="000000" w:themeColor="text1"/>
                <w:kern w:val="0"/>
                <w:sz w:val="18"/>
                <w:szCs w:val="18"/>
                <w14:textFill>
                  <w14:solidFill>
                    <w14:schemeClr w14:val="tx1"/>
                  </w14:solidFill>
                </w14:textFill>
              </w:rPr>
            </w:pPr>
          </w:p>
        </w:tc>
        <w:tc>
          <w:tcPr>
            <w:tcW w:w="1417" w:type="dxa"/>
            <w:vMerge w:val="continue"/>
            <w:tcBorders>
              <w:top w:val="nil"/>
              <w:left w:val="single" w:color="auto" w:sz="4" w:space="0"/>
              <w:bottom w:val="single" w:color="auto" w:sz="4" w:space="0"/>
              <w:right w:val="single" w:color="auto" w:sz="4" w:space="0"/>
            </w:tcBorders>
            <w:vAlign w:val="center"/>
          </w:tcPr>
          <w:p>
            <w:pPr>
              <w:widowControl/>
              <w:spacing w:line="240" w:lineRule="auto"/>
              <w:ind w:firstLine="0" w:firstLineChars="0"/>
              <w:jc w:val="center"/>
              <w:rPr>
                <w:rFonts w:ascii="宋体" w:hAnsi="宋体" w:eastAsia="宋体"/>
                <w:b w:val="0"/>
                <w:bCs/>
                <w:color w:val="000000" w:themeColor="text1"/>
                <w:kern w:val="0"/>
                <w:sz w:val="18"/>
                <w:szCs w:val="18"/>
                <w14:textFill>
                  <w14:solidFill>
                    <w14:schemeClr w14:val="tx1"/>
                  </w14:solidFill>
                </w14:textFill>
              </w:rPr>
            </w:pPr>
          </w:p>
        </w:tc>
        <w:tc>
          <w:tcPr>
            <w:tcW w:w="1276" w:type="dxa"/>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center"/>
              <w:rPr>
                <w:rFonts w:ascii="宋体" w:hAnsi="宋体" w:eastAsia="宋体"/>
                <w:b w:val="0"/>
                <w:bCs/>
                <w:color w:val="000000" w:themeColor="text1"/>
                <w:kern w:val="0"/>
                <w:sz w:val="18"/>
                <w:szCs w:val="18"/>
                <w14:textFill>
                  <w14:solidFill>
                    <w14:schemeClr w14:val="tx1"/>
                  </w14:solidFill>
                </w14:textFill>
              </w:rPr>
            </w:pPr>
            <w:r>
              <w:rPr>
                <w:rFonts w:hint="eastAsia" w:ascii="宋体" w:hAnsi="宋体" w:eastAsia="宋体"/>
                <w:b w:val="0"/>
                <w:bCs/>
                <w:color w:val="000000" w:themeColor="text1"/>
                <w:kern w:val="0"/>
                <w:sz w:val="18"/>
                <w:szCs w:val="18"/>
                <w14:textFill>
                  <w14:solidFill>
                    <w14:schemeClr w14:val="tx1"/>
                  </w14:solidFill>
                </w14:textFill>
              </w:rPr>
              <w:t>道路交通（客运）</w:t>
            </w:r>
          </w:p>
        </w:tc>
        <w:tc>
          <w:tcPr>
            <w:tcW w:w="1701" w:type="dxa"/>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center"/>
              <w:rPr>
                <w:rFonts w:ascii="宋体" w:hAnsi="宋体" w:eastAsia="宋体"/>
                <w:b w:val="0"/>
                <w:bCs/>
                <w:color w:val="000000" w:themeColor="text1"/>
                <w:kern w:val="0"/>
                <w:sz w:val="18"/>
                <w:szCs w:val="18"/>
                <w14:textFill>
                  <w14:solidFill>
                    <w14:schemeClr w14:val="tx1"/>
                  </w14:solidFill>
                </w14:textFill>
              </w:rPr>
            </w:pPr>
            <w:r>
              <w:rPr>
                <w:rFonts w:hint="eastAsia" w:ascii="宋体" w:hAnsi="宋体" w:eastAsia="宋体"/>
                <w:b w:val="0"/>
                <w:bCs/>
                <w:color w:val="000000" w:themeColor="text1"/>
                <w:kern w:val="0"/>
                <w:sz w:val="18"/>
                <w:szCs w:val="18"/>
                <w:lang w:val="en-US" w:eastAsia="zh-CN"/>
                <w14:textFill>
                  <w14:solidFill>
                    <w14:schemeClr w14:val="tx1"/>
                  </w14:solidFill>
                </w14:textFill>
              </w:rPr>
              <w:t>320</w:t>
            </w:r>
          </w:p>
        </w:tc>
        <w:tc>
          <w:tcPr>
            <w:tcW w:w="1418" w:type="dxa"/>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center"/>
              <w:rPr>
                <w:rFonts w:ascii="宋体" w:hAnsi="宋体" w:eastAsia="宋体"/>
                <w:b w:val="0"/>
                <w:bCs/>
                <w:color w:val="000000" w:themeColor="text1"/>
                <w:kern w:val="0"/>
                <w:sz w:val="18"/>
                <w:szCs w:val="18"/>
                <w14:textFill>
                  <w14:solidFill>
                    <w14:schemeClr w14:val="tx1"/>
                  </w14:solidFill>
                </w14:textFill>
              </w:rPr>
            </w:pPr>
            <w:r>
              <w:rPr>
                <w:rFonts w:hint="eastAsia" w:ascii="宋体" w:hAnsi="宋体" w:eastAsia="宋体"/>
                <w:b w:val="0"/>
                <w:bCs/>
                <w:color w:val="000000" w:themeColor="text1"/>
                <w:kern w:val="0"/>
                <w:sz w:val="18"/>
                <w:szCs w:val="18"/>
                <w14:textFill>
                  <w14:solidFill>
                    <w14:schemeClr w14:val="tx1"/>
                  </w14:solidFill>
                </w14:textFill>
              </w:rPr>
              <w:t>人·千米</w:t>
            </w:r>
          </w:p>
        </w:tc>
      </w:tr>
      <w:tr>
        <w:tblPrEx>
          <w:tblCellMar>
            <w:top w:w="0" w:type="dxa"/>
            <w:left w:w="108" w:type="dxa"/>
            <w:bottom w:w="0" w:type="dxa"/>
            <w:right w:w="108" w:type="dxa"/>
          </w:tblCellMar>
        </w:tblPrEx>
        <w:trPr>
          <w:trHeight w:val="270" w:hRule="atLeast"/>
        </w:trPr>
        <w:tc>
          <w:tcPr>
            <w:tcW w:w="1245" w:type="dxa"/>
            <w:vMerge w:val="continue"/>
            <w:tcBorders>
              <w:top w:val="nil"/>
              <w:left w:val="single" w:color="auto" w:sz="4" w:space="0"/>
              <w:bottom w:val="single" w:color="auto" w:sz="4" w:space="0"/>
              <w:right w:val="single" w:color="auto" w:sz="4" w:space="0"/>
            </w:tcBorders>
            <w:vAlign w:val="center"/>
          </w:tcPr>
          <w:p>
            <w:pPr>
              <w:widowControl/>
              <w:spacing w:line="240" w:lineRule="auto"/>
              <w:ind w:firstLine="0" w:firstLineChars="0"/>
              <w:jc w:val="center"/>
              <w:rPr>
                <w:rFonts w:ascii="宋体" w:hAnsi="宋体" w:eastAsia="宋体"/>
                <w:b w:val="0"/>
                <w:bCs/>
                <w:color w:val="000000" w:themeColor="text1"/>
                <w:kern w:val="0"/>
                <w:sz w:val="18"/>
                <w:szCs w:val="18"/>
                <w14:textFill>
                  <w14:solidFill>
                    <w14:schemeClr w14:val="tx1"/>
                  </w14:solidFill>
                </w14:textFill>
              </w:rPr>
            </w:pPr>
          </w:p>
        </w:tc>
        <w:tc>
          <w:tcPr>
            <w:tcW w:w="1307" w:type="dxa"/>
            <w:vMerge w:val="continue"/>
            <w:tcBorders>
              <w:top w:val="nil"/>
              <w:left w:val="single" w:color="auto" w:sz="4" w:space="0"/>
              <w:bottom w:val="single" w:color="auto" w:sz="4" w:space="0"/>
              <w:right w:val="single" w:color="auto" w:sz="4" w:space="0"/>
            </w:tcBorders>
            <w:vAlign w:val="center"/>
          </w:tcPr>
          <w:p>
            <w:pPr>
              <w:widowControl/>
              <w:spacing w:line="240" w:lineRule="auto"/>
              <w:ind w:firstLine="0" w:firstLineChars="0"/>
              <w:jc w:val="center"/>
              <w:rPr>
                <w:rFonts w:ascii="宋体" w:hAnsi="宋体" w:eastAsia="宋体"/>
                <w:b w:val="0"/>
                <w:bCs/>
                <w:color w:val="000000" w:themeColor="text1"/>
                <w:kern w:val="0"/>
                <w:sz w:val="18"/>
                <w:szCs w:val="18"/>
                <w14:textFill>
                  <w14:solidFill>
                    <w14:schemeClr w14:val="tx1"/>
                  </w14:solidFill>
                </w14:textFill>
              </w:rPr>
            </w:pPr>
          </w:p>
        </w:tc>
        <w:tc>
          <w:tcPr>
            <w:tcW w:w="1417"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auto"/>
              <w:ind w:firstLine="0" w:firstLineChars="0"/>
              <w:jc w:val="center"/>
              <w:rPr>
                <w:rFonts w:ascii="宋体" w:hAnsi="宋体" w:eastAsia="宋体"/>
                <w:b w:val="0"/>
                <w:bCs/>
                <w:color w:val="000000" w:themeColor="text1"/>
                <w:kern w:val="0"/>
                <w:sz w:val="18"/>
                <w:szCs w:val="18"/>
                <w14:textFill>
                  <w14:solidFill>
                    <w14:schemeClr w14:val="tx1"/>
                  </w14:solidFill>
                </w14:textFill>
              </w:rPr>
            </w:pPr>
            <w:r>
              <w:rPr>
                <w:rFonts w:hint="eastAsia" w:ascii="宋体" w:hAnsi="宋体" w:eastAsia="宋体"/>
                <w:b w:val="0"/>
                <w:bCs/>
                <w:color w:val="000000" w:themeColor="text1"/>
                <w:kern w:val="0"/>
                <w:sz w:val="18"/>
                <w:szCs w:val="18"/>
                <w14:textFill>
                  <w14:solidFill>
                    <w14:schemeClr w14:val="tx1"/>
                  </w14:solidFill>
                </w14:textFill>
              </w:rPr>
              <w:t>员工差旅住宿</w:t>
            </w:r>
          </w:p>
        </w:tc>
        <w:tc>
          <w:tcPr>
            <w:tcW w:w="127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ind w:firstLine="0" w:firstLineChars="0"/>
              <w:jc w:val="center"/>
              <w:rPr>
                <w:rFonts w:hint="eastAsia" w:ascii="宋体" w:hAnsi="宋体" w:eastAsia="宋体"/>
                <w:b w:val="0"/>
                <w:bCs/>
                <w:color w:val="000000" w:themeColor="text1"/>
                <w:kern w:val="0"/>
                <w:sz w:val="18"/>
                <w:szCs w:val="18"/>
                <w14:textFill>
                  <w14:solidFill>
                    <w14:schemeClr w14:val="tx1"/>
                  </w14:solidFill>
                </w14:textFill>
              </w:rPr>
            </w:pPr>
            <w:r>
              <w:rPr>
                <w:rFonts w:hint="eastAsia" w:ascii="宋体" w:hAnsi="宋体" w:eastAsia="宋体"/>
                <w:b w:val="0"/>
                <w:bCs/>
                <w:color w:val="000000" w:themeColor="text1"/>
                <w:kern w:val="0"/>
                <w:sz w:val="18"/>
                <w:szCs w:val="18"/>
                <w14:textFill>
                  <w14:solidFill>
                    <w14:schemeClr w14:val="tx1"/>
                  </w14:solidFill>
                </w14:textFill>
              </w:rPr>
              <w:t>酒店住宿</w:t>
            </w:r>
          </w:p>
        </w:tc>
        <w:tc>
          <w:tcPr>
            <w:tcW w:w="1701" w:type="dxa"/>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center"/>
              <w:rPr>
                <w:rFonts w:ascii="宋体" w:hAnsi="宋体" w:eastAsia="宋体"/>
                <w:b w:val="0"/>
                <w:bCs/>
                <w:color w:val="000000" w:themeColor="text1"/>
                <w:kern w:val="0"/>
                <w:sz w:val="18"/>
                <w:szCs w:val="18"/>
                <w14:textFill>
                  <w14:solidFill>
                    <w14:schemeClr w14:val="tx1"/>
                  </w14:solidFill>
                </w14:textFill>
              </w:rPr>
            </w:pPr>
            <w:r>
              <w:rPr>
                <w:rFonts w:hint="eastAsia" w:ascii="宋体" w:hAnsi="宋体" w:eastAsia="宋体"/>
                <w:b w:val="0"/>
                <w:bCs/>
                <w:color w:val="000000" w:themeColor="text1"/>
                <w:kern w:val="0"/>
                <w:sz w:val="18"/>
                <w:szCs w:val="18"/>
                <w:lang w:val="en-US" w:eastAsia="zh-CN"/>
                <w14:textFill>
                  <w14:solidFill>
                    <w14:schemeClr w14:val="tx1"/>
                  </w14:solidFill>
                </w14:textFill>
              </w:rPr>
              <w:t>795</w:t>
            </w:r>
          </w:p>
        </w:tc>
        <w:tc>
          <w:tcPr>
            <w:tcW w:w="1418" w:type="dxa"/>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center"/>
              <w:rPr>
                <w:rFonts w:ascii="宋体" w:hAnsi="宋体" w:eastAsia="宋体"/>
                <w:b w:val="0"/>
                <w:bCs/>
                <w:color w:val="000000" w:themeColor="text1"/>
                <w:kern w:val="0"/>
                <w:sz w:val="18"/>
                <w:szCs w:val="18"/>
                <w14:textFill>
                  <w14:solidFill>
                    <w14:schemeClr w14:val="tx1"/>
                  </w14:solidFill>
                </w14:textFill>
              </w:rPr>
            </w:pPr>
            <w:r>
              <w:rPr>
                <w:rFonts w:hint="eastAsia" w:ascii="宋体" w:hAnsi="宋体" w:eastAsia="宋体"/>
                <w:b w:val="0"/>
                <w:bCs/>
                <w:color w:val="000000" w:themeColor="text1"/>
                <w:kern w:val="0"/>
                <w:sz w:val="18"/>
                <w:szCs w:val="18"/>
                <w14:textFill>
                  <w14:solidFill>
                    <w14:schemeClr w14:val="tx1"/>
                  </w14:solidFill>
                </w14:textFill>
              </w:rPr>
              <w:t>晚·房间</w:t>
            </w:r>
          </w:p>
        </w:tc>
      </w:tr>
      <w:tr>
        <w:tblPrEx>
          <w:tblCellMar>
            <w:top w:w="0" w:type="dxa"/>
            <w:left w:w="108" w:type="dxa"/>
            <w:bottom w:w="0" w:type="dxa"/>
            <w:right w:w="108" w:type="dxa"/>
          </w:tblCellMar>
        </w:tblPrEx>
        <w:trPr>
          <w:trHeight w:val="270" w:hRule="atLeast"/>
        </w:trPr>
        <w:tc>
          <w:tcPr>
            <w:tcW w:w="1245" w:type="dxa"/>
            <w:vMerge w:val="continue"/>
            <w:tcBorders>
              <w:top w:val="nil"/>
              <w:left w:val="single" w:color="auto" w:sz="4" w:space="0"/>
              <w:bottom w:val="single" w:color="auto" w:sz="4" w:space="0"/>
              <w:right w:val="single" w:color="auto" w:sz="4" w:space="0"/>
            </w:tcBorders>
            <w:vAlign w:val="center"/>
          </w:tcPr>
          <w:p>
            <w:pPr>
              <w:widowControl/>
              <w:spacing w:line="240" w:lineRule="auto"/>
              <w:ind w:firstLine="0" w:firstLineChars="0"/>
              <w:jc w:val="center"/>
              <w:rPr>
                <w:rFonts w:ascii="宋体" w:hAnsi="宋体" w:eastAsia="宋体"/>
                <w:b w:val="0"/>
                <w:bCs/>
                <w:color w:val="000000" w:themeColor="text1"/>
                <w:kern w:val="0"/>
                <w:sz w:val="18"/>
                <w:szCs w:val="18"/>
                <w14:textFill>
                  <w14:solidFill>
                    <w14:schemeClr w14:val="tx1"/>
                  </w14:solidFill>
                </w14:textFill>
              </w:rPr>
            </w:pPr>
          </w:p>
        </w:tc>
        <w:tc>
          <w:tcPr>
            <w:tcW w:w="1307" w:type="dxa"/>
            <w:vMerge w:val="restart"/>
            <w:tcBorders>
              <w:top w:val="nil"/>
              <w:left w:val="single" w:color="auto" w:sz="4" w:space="0"/>
              <w:bottom w:val="single" w:color="auto" w:sz="4" w:space="0"/>
              <w:right w:val="single" w:color="auto" w:sz="4" w:space="0"/>
            </w:tcBorders>
            <w:shd w:val="clear" w:color="auto" w:fill="auto"/>
            <w:vAlign w:val="center"/>
          </w:tcPr>
          <w:p>
            <w:pPr>
              <w:widowControl/>
              <w:spacing w:line="240" w:lineRule="auto"/>
              <w:ind w:firstLine="0" w:firstLineChars="0"/>
              <w:jc w:val="center"/>
              <w:rPr>
                <w:rFonts w:ascii="宋体" w:hAnsi="宋体" w:eastAsia="宋体"/>
                <w:b w:val="0"/>
                <w:bCs/>
                <w:color w:val="000000" w:themeColor="text1"/>
                <w:kern w:val="0"/>
                <w:sz w:val="18"/>
                <w:szCs w:val="18"/>
                <w14:textFill>
                  <w14:solidFill>
                    <w14:schemeClr w14:val="tx1"/>
                  </w14:solidFill>
                </w14:textFill>
              </w:rPr>
            </w:pPr>
            <w:r>
              <w:rPr>
                <w:rFonts w:hint="eastAsia" w:ascii="宋体" w:hAnsi="宋体" w:eastAsia="宋体"/>
                <w:b w:val="0"/>
                <w:bCs/>
                <w:color w:val="000000" w:themeColor="text1"/>
                <w:kern w:val="0"/>
                <w:sz w:val="18"/>
                <w:szCs w:val="18"/>
                <w14:textFill>
                  <w14:solidFill>
                    <w14:schemeClr w14:val="tx1"/>
                  </w14:solidFill>
                </w14:textFill>
              </w:rPr>
              <w:t>员工通勤</w:t>
            </w:r>
          </w:p>
        </w:tc>
        <w:tc>
          <w:tcPr>
            <w:tcW w:w="2693" w:type="dxa"/>
            <w:gridSpan w:val="2"/>
            <w:tcBorders>
              <w:top w:val="single" w:color="auto" w:sz="4" w:space="0"/>
              <w:left w:val="nil"/>
              <w:bottom w:val="single" w:color="auto" w:sz="4" w:space="0"/>
              <w:right w:val="single" w:color="auto" w:sz="4" w:space="0"/>
            </w:tcBorders>
            <w:shd w:val="clear" w:color="auto" w:fill="auto"/>
            <w:vAlign w:val="center"/>
          </w:tcPr>
          <w:p>
            <w:pPr>
              <w:widowControl/>
              <w:spacing w:line="240" w:lineRule="auto"/>
              <w:ind w:firstLine="0" w:firstLineChars="0"/>
              <w:jc w:val="center"/>
              <w:rPr>
                <w:rFonts w:ascii="宋体" w:hAnsi="宋体" w:eastAsia="宋体"/>
                <w:b w:val="0"/>
                <w:bCs/>
                <w:color w:val="000000" w:themeColor="text1"/>
                <w:kern w:val="0"/>
                <w:sz w:val="18"/>
                <w:szCs w:val="18"/>
                <w14:textFill>
                  <w14:solidFill>
                    <w14:schemeClr w14:val="tx1"/>
                  </w14:solidFill>
                </w14:textFill>
              </w:rPr>
            </w:pPr>
            <w:r>
              <w:rPr>
                <w:rFonts w:hint="eastAsia" w:ascii="宋体" w:hAnsi="宋体" w:eastAsia="宋体"/>
                <w:b w:val="0"/>
                <w:bCs/>
                <w:color w:val="000000" w:themeColor="text1"/>
                <w:kern w:val="0"/>
                <w:sz w:val="18"/>
                <w:szCs w:val="18"/>
                <w14:textFill>
                  <w14:solidFill>
                    <w14:schemeClr w14:val="tx1"/>
                  </w14:solidFill>
                </w14:textFill>
              </w:rPr>
              <w:t>公交车</w:t>
            </w:r>
          </w:p>
        </w:tc>
        <w:tc>
          <w:tcPr>
            <w:tcW w:w="1701" w:type="dxa"/>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center"/>
              <w:rPr>
                <w:rFonts w:ascii="宋体" w:hAnsi="宋体" w:eastAsia="宋体"/>
                <w:b w:val="0"/>
                <w:bCs/>
                <w:color w:val="000000" w:themeColor="text1"/>
                <w:kern w:val="0"/>
                <w:sz w:val="18"/>
                <w:szCs w:val="18"/>
                <w14:textFill>
                  <w14:solidFill>
                    <w14:schemeClr w14:val="tx1"/>
                  </w14:solidFill>
                </w14:textFill>
              </w:rPr>
            </w:pPr>
            <w:r>
              <w:rPr>
                <w:rFonts w:hint="eastAsia" w:ascii="宋体" w:hAnsi="宋体" w:eastAsia="宋体"/>
                <w:b w:val="0"/>
                <w:bCs/>
                <w:color w:val="000000" w:themeColor="text1"/>
                <w:kern w:val="0"/>
                <w:sz w:val="18"/>
                <w:szCs w:val="18"/>
                <w:lang w:val="en-US" w:eastAsia="zh-CN"/>
                <w14:textFill>
                  <w14:solidFill>
                    <w14:schemeClr w14:val="tx1"/>
                  </w14:solidFill>
                </w14:textFill>
              </w:rPr>
              <w:t>0</w:t>
            </w:r>
          </w:p>
        </w:tc>
        <w:tc>
          <w:tcPr>
            <w:tcW w:w="1418" w:type="dxa"/>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center"/>
              <w:rPr>
                <w:rFonts w:ascii="宋体" w:hAnsi="宋体" w:eastAsia="宋体"/>
                <w:b w:val="0"/>
                <w:bCs/>
                <w:color w:val="000000" w:themeColor="text1"/>
                <w:kern w:val="0"/>
                <w:sz w:val="18"/>
                <w:szCs w:val="18"/>
                <w14:textFill>
                  <w14:solidFill>
                    <w14:schemeClr w14:val="tx1"/>
                  </w14:solidFill>
                </w14:textFill>
              </w:rPr>
            </w:pPr>
            <w:r>
              <w:rPr>
                <w:rFonts w:hint="eastAsia" w:ascii="宋体" w:hAnsi="宋体" w:eastAsia="宋体"/>
                <w:b w:val="0"/>
                <w:bCs/>
                <w:color w:val="000000" w:themeColor="text1"/>
                <w:kern w:val="0"/>
                <w:sz w:val="18"/>
                <w:szCs w:val="18"/>
                <w14:textFill>
                  <w14:solidFill>
                    <w14:schemeClr w14:val="tx1"/>
                  </w14:solidFill>
                </w14:textFill>
              </w:rPr>
              <w:t>人·千米</w:t>
            </w:r>
          </w:p>
        </w:tc>
      </w:tr>
      <w:tr>
        <w:tblPrEx>
          <w:tblCellMar>
            <w:top w:w="0" w:type="dxa"/>
            <w:left w:w="108" w:type="dxa"/>
            <w:bottom w:w="0" w:type="dxa"/>
            <w:right w:w="108" w:type="dxa"/>
          </w:tblCellMar>
        </w:tblPrEx>
        <w:trPr>
          <w:trHeight w:val="270" w:hRule="atLeast"/>
        </w:trPr>
        <w:tc>
          <w:tcPr>
            <w:tcW w:w="1245" w:type="dxa"/>
            <w:vMerge w:val="continue"/>
            <w:tcBorders>
              <w:top w:val="nil"/>
              <w:left w:val="single" w:color="auto" w:sz="4" w:space="0"/>
              <w:bottom w:val="single" w:color="auto" w:sz="4" w:space="0"/>
              <w:right w:val="single" w:color="auto" w:sz="4" w:space="0"/>
            </w:tcBorders>
            <w:vAlign w:val="center"/>
          </w:tcPr>
          <w:p>
            <w:pPr>
              <w:widowControl/>
              <w:spacing w:line="240" w:lineRule="auto"/>
              <w:ind w:firstLine="0" w:firstLineChars="0"/>
              <w:jc w:val="center"/>
              <w:rPr>
                <w:rFonts w:ascii="宋体" w:hAnsi="宋体" w:eastAsia="宋体"/>
                <w:b w:val="0"/>
                <w:bCs/>
                <w:color w:val="000000" w:themeColor="text1"/>
                <w:kern w:val="0"/>
                <w:sz w:val="18"/>
                <w:szCs w:val="18"/>
                <w14:textFill>
                  <w14:solidFill>
                    <w14:schemeClr w14:val="tx1"/>
                  </w14:solidFill>
                </w14:textFill>
              </w:rPr>
            </w:pPr>
          </w:p>
        </w:tc>
        <w:tc>
          <w:tcPr>
            <w:tcW w:w="1307" w:type="dxa"/>
            <w:vMerge w:val="continue"/>
            <w:tcBorders>
              <w:top w:val="nil"/>
              <w:left w:val="single" w:color="auto" w:sz="4" w:space="0"/>
              <w:bottom w:val="single" w:color="auto" w:sz="4" w:space="0"/>
              <w:right w:val="single" w:color="auto" w:sz="4" w:space="0"/>
            </w:tcBorders>
            <w:vAlign w:val="center"/>
          </w:tcPr>
          <w:p>
            <w:pPr>
              <w:widowControl/>
              <w:spacing w:line="240" w:lineRule="auto"/>
              <w:ind w:firstLine="0" w:firstLineChars="0"/>
              <w:jc w:val="center"/>
              <w:rPr>
                <w:rFonts w:ascii="宋体" w:hAnsi="宋体" w:eastAsia="宋体"/>
                <w:b w:val="0"/>
                <w:bCs/>
                <w:color w:val="000000" w:themeColor="text1"/>
                <w:kern w:val="0"/>
                <w:sz w:val="18"/>
                <w:szCs w:val="18"/>
                <w14:textFill>
                  <w14:solidFill>
                    <w14:schemeClr w14:val="tx1"/>
                  </w14:solidFill>
                </w14:textFill>
              </w:rPr>
            </w:pPr>
          </w:p>
        </w:tc>
        <w:tc>
          <w:tcPr>
            <w:tcW w:w="2693" w:type="dxa"/>
            <w:gridSpan w:val="2"/>
            <w:tcBorders>
              <w:top w:val="single" w:color="auto" w:sz="4" w:space="0"/>
              <w:left w:val="nil"/>
              <w:bottom w:val="single" w:color="auto" w:sz="4" w:space="0"/>
              <w:right w:val="single" w:color="auto" w:sz="4" w:space="0"/>
            </w:tcBorders>
            <w:shd w:val="clear" w:color="auto" w:fill="auto"/>
            <w:vAlign w:val="center"/>
          </w:tcPr>
          <w:p>
            <w:pPr>
              <w:widowControl/>
              <w:spacing w:line="240" w:lineRule="auto"/>
              <w:ind w:firstLine="0" w:firstLineChars="0"/>
              <w:jc w:val="center"/>
              <w:rPr>
                <w:rFonts w:ascii="宋体" w:hAnsi="宋体" w:eastAsia="宋体"/>
                <w:b w:val="0"/>
                <w:bCs/>
                <w:color w:val="000000" w:themeColor="text1"/>
                <w:kern w:val="0"/>
                <w:sz w:val="18"/>
                <w:szCs w:val="18"/>
                <w14:textFill>
                  <w14:solidFill>
                    <w14:schemeClr w14:val="tx1"/>
                  </w14:solidFill>
                </w14:textFill>
              </w:rPr>
            </w:pPr>
            <w:r>
              <w:rPr>
                <w:rFonts w:hint="eastAsia" w:ascii="宋体" w:hAnsi="宋体" w:eastAsia="宋体"/>
                <w:b w:val="0"/>
                <w:bCs/>
                <w:color w:val="000000" w:themeColor="text1"/>
                <w:kern w:val="0"/>
                <w:sz w:val="18"/>
                <w:szCs w:val="18"/>
                <w14:textFill>
                  <w14:solidFill>
                    <w14:schemeClr w14:val="tx1"/>
                  </w14:solidFill>
                </w14:textFill>
              </w:rPr>
              <w:t>地铁</w:t>
            </w:r>
          </w:p>
        </w:tc>
        <w:tc>
          <w:tcPr>
            <w:tcW w:w="1701" w:type="dxa"/>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center"/>
              <w:rPr>
                <w:rFonts w:ascii="宋体" w:hAnsi="宋体" w:eastAsia="宋体"/>
                <w:b w:val="0"/>
                <w:bCs/>
                <w:color w:val="000000" w:themeColor="text1"/>
                <w:kern w:val="0"/>
                <w:sz w:val="18"/>
                <w:szCs w:val="18"/>
                <w14:textFill>
                  <w14:solidFill>
                    <w14:schemeClr w14:val="tx1"/>
                  </w14:solidFill>
                </w14:textFill>
              </w:rPr>
            </w:pPr>
            <w:r>
              <w:rPr>
                <w:rFonts w:hint="eastAsia" w:ascii="宋体" w:hAnsi="宋体" w:eastAsia="宋体"/>
                <w:b w:val="0"/>
                <w:bCs/>
                <w:color w:val="000000" w:themeColor="text1"/>
                <w:kern w:val="0"/>
                <w:sz w:val="18"/>
                <w:szCs w:val="18"/>
                <w:lang w:val="en-US" w:eastAsia="zh-CN"/>
                <w14:textFill>
                  <w14:solidFill>
                    <w14:schemeClr w14:val="tx1"/>
                  </w14:solidFill>
                </w14:textFill>
              </w:rPr>
              <w:t>0</w:t>
            </w:r>
          </w:p>
        </w:tc>
        <w:tc>
          <w:tcPr>
            <w:tcW w:w="1418" w:type="dxa"/>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center"/>
              <w:rPr>
                <w:rFonts w:ascii="宋体" w:hAnsi="宋体" w:eastAsia="宋体"/>
                <w:b w:val="0"/>
                <w:bCs/>
                <w:color w:val="000000" w:themeColor="text1"/>
                <w:kern w:val="0"/>
                <w:sz w:val="18"/>
                <w:szCs w:val="18"/>
                <w14:textFill>
                  <w14:solidFill>
                    <w14:schemeClr w14:val="tx1"/>
                  </w14:solidFill>
                </w14:textFill>
              </w:rPr>
            </w:pPr>
            <w:r>
              <w:rPr>
                <w:rFonts w:hint="eastAsia" w:ascii="宋体" w:hAnsi="宋体" w:eastAsia="宋体"/>
                <w:b w:val="0"/>
                <w:bCs/>
                <w:color w:val="000000" w:themeColor="text1"/>
                <w:kern w:val="0"/>
                <w:sz w:val="18"/>
                <w:szCs w:val="18"/>
                <w14:textFill>
                  <w14:solidFill>
                    <w14:schemeClr w14:val="tx1"/>
                  </w14:solidFill>
                </w14:textFill>
              </w:rPr>
              <w:t>人·千米</w:t>
            </w:r>
          </w:p>
        </w:tc>
      </w:tr>
      <w:tr>
        <w:tblPrEx>
          <w:tblCellMar>
            <w:top w:w="0" w:type="dxa"/>
            <w:left w:w="108" w:type="dxa"/>
            <w:bottom w:w="0" w:type="dxa"/>
            <w:right w:w="108" w:type="dxa"/>
          </w:tblCellMar>
        </w:tblPrEx>
        <w:trPr>
          <w:trHeight w:val="270" w:hRule="atLeast"/>
        </w:trPr>
        <w:tc>
          <w:tcPr>
            <w:tcW w:w="1245" w:type="dxa"/>
            <w:vMerge w:val="continue"/>
            <w:tcBorders>
              <w:top w:val="nil"/>
              <w:left w:val="single" w:color="auto" w:sz="4" w:space="0"/>
              <w:bottom w:val="single" w:color="auto" w:sz="4" w:space="0"/>
              <w:right w:val="single" w:color="auto" w:sz="4" w:space="0"/>
            </w:tcBorders>
            <w:vAlign w:val="center"/>
          </w:tcPr>
          <w:p>
            <w:pPr>
              <w:widowControl/>
              <w:spacing w:line="240" w:lineRule="auto"/>
              <w:ind w:firstLine="0" w:firstLineChars="0"/>
              <w:jc w:val="center"/>
              <w:rPr>
                <w:rFonts w:ascii="宋体" w:hAnsi="宋体" w:eastAsia="宋体"/>
                <w:b w:val="0"/>
                <w:bCs/>
                <w:color w:val="000000" w:themeColor="text1"/>
                <w:kern w:val="0"/>
                <w:sz w:val="18"/>
                <w:szCs w:val="18"/>
                <w14:textFill>
                  <w14:solidFill>
                    <w14:schemeClr w14:val="tx1"/>
                  </w14:solidFill>
                </w14:textFill>
              </w:rPr>
            </w:pPr>
          </w:p>
        </w:tc>
        <w:tc>
          <w:tcPr>
            <w:tcW w:w="1307" w:type="dxa"/>
            <w:vMerge w:val="continue"/>
            <w:tcBorders>
              <w:top w:val="nil"/>
              <w:left w:val="single" w:color="auto" w:sz="4" w:space="0"/>
              <w:bottom w:val="single" w:color="auto" w:sz="4" w:space="0"/>
              <w:right w:val="single" w:color="auto" w:sz="4" w:space="0"/>
            </w:tcBorders>
            <w:vAlign w:val="center"/>
          </w:tcPr>
          <w:p>
            <w:pPr>
              <w:widowControl/>
              <w:spacing w:line="240" w:lineRule="auto"/>
              <w:ind w:firstLine="0" w:firstLineChars="0"/>
              <w:jc w:val="center"/>
              <w:rPr>
                <w:rFonts w:ascii="宋体" w:hAnsi="宋体" w:eastAsia="宋体"/>
                <w:b w:val="0"/>
                <w:bCs/>
                <w:color w:val="000000" w:themeColor="text1"/>
                <w:kern w:val="0"/>
                <w:sz w:val="18"/>
                <w:szCs w:val="18"/>
                <w14:textFill>
                  <w14:solidFill>
                    <w14:schemeClr w14:val="tx1"/>
                  </w14:solidFill>
                </w14:textFill>
              </w:rPr>
            </w:pPr>
          </w:p>
        </w:tc>
        <w:tc>
          <w:tcPr>
            <w:tcW w:w="2693" w:type="dxa"/>
            <w:gridSpan w:val="2"/>
            <w:tcBorders>
              <w:top w:val="single" w:color="auto" w:sz="4" w:space="0"/>
              <w:left w:val="nil"/>
              <w:bottom w:val="single" w:color="auto" w:sz="4" w:space="0"/>
              <w:right w:val="single" w:color="auto" w:sz="4" w:space="0"/>
            </w:tcBorders>
            <w:shd w:val="clear" w:color="auto" w:fill="auto"/>
            <w:vAlign w:val="center"/>
          </w:tcPr>
          <w:p>
            <w:pPr>
              <w:widowControl/>
              <w:spacing w:line="240" w:lineRule="auto"/>
              <w:ind w:firstLine="0" w:firstLineChars="0"/>
              <w:jc w:val="center"/>
              <w:rPr>
                <w:rFonts w:ascii="宋体" w:hAnsi="宋体" w:eastAsia="宋体"/>
                <w:b w:val="0"/>
                <w:bCs/>
                <w:color w:val="000000" w:themeColor="text1"/>
                <w:kern w:val="0"/>
                <w:sz w:val="18"/>
                <w:szCs w:val="18"/>
                <w14:textFill>
                  <w14:solidFill>
                    <w14:schemeClr w14:val="tx1"/>
                  </w14:solidFill>
                </w14:textFill>
              </w:rPr>
            </w:pPr>
            <w:r>
              <w:rPr>
                <w:rFonts w:hint="eastAsia" w:ascii="宋体" w:hAnsi="宋体" w:eastAsia="宋体"/>
                <w:b w:val="0"/>
                <w:bCs/>
                <w:color w:val="000000" w:themeColor="text1"/>
                <w:kern w:val="0"/>
                <w:sz w:val="18"/>
                <w:szCs w:val="18"/>
                <w14:textFill>
                  <w14:solidFill>
                    <w14:schemeClr w14:val="tx1"/>
                  </w14:solidFill>
                </w14:textFill>
              </w:rPr>
              <w:t>私家车（燃油）</w:t>
            </w:r>
          </w:p>
        </w:tc>
        <w:tc>
          <w:tcPr>
            <w:tcW w:w="1701" w:type="dxa"/>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center"/>
              <w:rPr>
                <w:rFonts w:ascii="宋体" w:hAnsi="宋体" w:eastAsia="宋体"/>
                <w:b w:val="0"/>
                <w:bCs/>
                <w:color w:val="000000" w:themeColor="text1"/>
                <w:kern w:val="0"/>
                <w:sz w:val="18"/>
                <w:szCs w:val="18"/>
                <w14:textFill>
                  <w14:solidFill>
                    <w14:schemeClr w14:val="tx1"/>
                  </w14:solidFill>
                </w14:textFill>
              </w:rPr>
            </w:pPr>
            <w:r>
              <w:rPr>
                <w:rFonts w:hint="eastAsia" w:ascii="宋体" w:hAnsi="宋体" w:eastAsia="宋体"/>
                <w:b w:val="0"/>
                <w:bCs/>
                <w:color w:val="000000" w:themeColor="text1"/>
                <w:kern w:val="0"/>
                <w:sz w:val="18"/>
                <w:szCs w:val="18"/>
                <w:lang w:val="en-US" w:eastAsia="zh-CN"/>
                <w14:textFill>
                  <w14:solidFill>
                    <w14:schemeClr w14:val="tx1"/>
                  </w14:solidFill>
                </w14:textFill>
              </w:rPr>
              <w:t>500000</w:t>
            </w:r>
          </w:p>
        </w:tc>
        <w:tc>
          <w:tcPr>
            <w:tcW w:w="1418" w:type="dxa"/>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center"/>
              <w:rPr>
                <w:rFonts w:ascii="宋体" w:hAnsi="宋体" w:eastAsia="宋体"/>
                <w:b w:val="0"/>
                <w:bCs/>
                <w:color w:val="000000" w:themeColor="text1"/>
                <w:kern w:val="0"/>
                <w:sz w:val="18"/>
                <w:szCs w:val="18"/>
                <w14:textFill>
                  <w14:solidFill>
                    <w14:schemeClr w14:val="tx1"/>
                  </w14:solidFill>
                </w14:textFill>
              </w:rPr>
            </w:pPr>
            <w:r>
              <w:rPr>
                <w:rFonts w:hint="eastAsia" w:ascii="宋体" w:hAnsi="宋体" w:eastAsia="宋体"/>
                <w:b w:val="0"/>
                <w:bCs/>
                <w:color w:val="000000" w:themeColor="text1"/>
                <w:kern w:val="0"/>
                <w:sz w:val="18"/>
                <w:szCs w:val="18"/>
                <w14:textFill>
                  <w14:solidFill>
                    <w14:schemeClr w14:val="tx1"/>
                  </w14:solidFill>
                </w14:textFill>
              </w:rPr>
              <w:t>人·千米</w:t>
            </w:r>
          </w:p>
        </w:tc>
      </w:tr>
      <w:tr>
        <w:tblPrEx>
          <w:tblCellMar>
            <w:top w:w="0" w:type="dxa"/>
            <w:left w:w="108" w:type="dxa"/>
            <w:bottom w:w="0" w:type="dxa"/>
            <w:right w:w="108" w:type="dxa"/>
          </w:tblCellMar>
        </w:tblPrEx>
        <w:trPr>
          <w:trHeight w:val="270" w:hRule="atLeast"/>
        </w:trPr>
        <w:tc>
          <w:tcPr>
            <w:tcW w:w="1245" w:type="dxa"/>
            <w:vMerge w:val="continue"/>
            <w:tcBorders>
              <w:top w:val="nil"/>
              <w:left w:val="single" w:color="auto" w:sz="4" w:space="0"/>
              <w:bottom w:val="single" w:color="auto" w:sz="4" w:space="0"/>
              <w:right w:val="single" w:color="auto" w:sz="4" w:space="0"/>
            </w:tcBorders>
            <w:vAlign w:val="center"/>
          </w:tcPr>
          <w:p>
            <w:pPr>
              <w:widowControl/>
              <w:spacing w:line="240" w:lineRule="auto"/>
              <w:ind w:firstLine="0" w:firstLineChars="0"/>
              <w:jc w:val="center"/>
              <w:rPr>
                <w:rFonts w:ascii="宋体" w:hAnsi="宋体" w:eastAsia="宋体"/>
                <w:b w:val="0"/>
                <w:bCs/>
                <w:color w:val="000000" w:themeColor="text1"/>
                <w:kern w:val="0"/>
                <w:sz w:val="18"/>
                <w:szCs w:val="18"/>
                <w14:textFill>
                  <w14:solidFill>
                    <w14:schemeClr w14:val="tx1"/>
                  </w14:solidFill>
                </w14:textFill>
              </w:rPr>
            </w:pPr>
          </w:p>
        </w:tc>
        <w:tc>
          <w:tcPr>
            <w:tcW w:w="1307" w:type="dxa"/>
            <w:vMerge w:val="continue"/>
            <w:tcBorders>
              <w:top w:val="nil"/>
              <w:left w:val="single" w:color="auto" w:sz="4" w:space="0"/>
              <w:bottom w:val="single" w:color="auto" w:sz="4" w:space="0"/>
              <w:right w:val="single" w:color="auto" w:sz="4" w:space="0"/>
            </w:tcBorders>
            <w:vAlign w:val="center"/>
          </w:tcPr>
          <w:p>
            <w:pPr>
              <w:widowControl/>
              <w:spacing w:line="240" w:lineRule="auto"/>
              <w:ind w:firstLine="0" w:firstLineChars="0"/>
              <w:jc w:val="center"/>
              <w:rPr>
                <w:rFonts w:ascii="宋体" w:hAnsi="宋体" w:eastAsia="宋体"/>
                <w:b w:val="0"/>
                <w:bCs/>
                <w:color w:val="000000" w:themeColor="text1"/>
                <w:kern w:val="0"/>
                <w:sz w:val="18"/>
                <w:szCs w:val="18"/>
                <w14:textFill>
                  <w14:solidFill>
                    <w14:schemeClr w14:val="tx1"/>
                  </w14:solidFill>
                </w14:textFill>
              </w:rPr>
            </w:pPr>
          </w:p>
        </w:tc>
        <w:tc>
          <w:tcPr>
            <w:tcW w:w="2693" w:type="dxa"/>
            <w:gridSpan w:val="2"/>
            <w:tcBorders>
              <w:top w:val="single" w:color="auto" w:sz="4" w:space="0"/>
              <w:left w:val="nil"/>
              <w:bottom w:val="single" w:color="auto" w:sz="4" w:space="0"/>
              <w:right w:val="single" w:color="auto" w:sz="4" w:space="0"/>
            </w:tcBorders>
            <w:shd w:val="clear" w:color="auto" w:fill="auto"/>
            <w:vAlign w:val="center"/>
          </w:tcPr>
          <w:p>
            <w:pPr>
              <w:widowControl/>
              <w:spacing w:line="240" w:lineRule="auto"/>
              <w:ind w:firstLine="0" w:firstLineChars="0"/>
              <w:jc w:val="center"/>
              <w:rPr>
                <w:rFonts w:ascii="宋体" w:hAnsi="宋体" w:eastAsia="宋体"/>
                <w:b w:val="0"/>
                <w:bCs/>
                <w:color w:val="000000" w:themeColor="text1"/>
                <w:kern w:val="0"/>
                <w:sz w:val="18"/>
                <w:szCs w:val="18"/>
                <w14:textFill>
                  <w14:solidFill>
                    <w14:schemeClr w14:val="tx1"/>
                  </w14:solidFill>
                </w14:textFill>
              </w:rPr>
            </w:pPr>
            <w:r>
              <w:rPr>
                <w:rFonts w:hint="eastAsia" w:ascii="宋体" w:hAnsi="宋体" w:eastAsia="宋体"/>
                <w:b w:val="0"/>
                <w:bCs/>
                <w:color w:val="000000" w:themeColor="text1"/>
                <w:kern w:val="0"/>
                <w:sz w:val="18"/>
                <w:szCs w:val="18"/>
                <w14:textFill>
                  <w14:solidFill>
                    <w14:schemeClr w14:val="tx1"/>
                  </w14:solidFill>
                </w14:textFill>
              </w:rPr>
              <w:t>私家车（电动）</w:t>
            </w:r>
          </w:p>
        </w:tc>
        <w:tc>
          <w:tcPr>
            <w:tcW w:w="1701" w:type="dxa"/>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center"/>
              <w:rPr>
                <w:rFonts w:ascii="宋体" w:hAnsi="宋体" w:eastAsia="宋体"/>
                <w:b w:val="0"/>
                <w:bCs/>
                <w:color w:val="000000" w:themeColor="text1"/>
                <w:kern w:val="0"/>
                <w:sz w:val="18"/>
                <w:szCs w:val="18"/>
                <w14:textFill>
                  <w14:solidFill>
                    <w14:schemeClr w14:val="tx1"/>
                  </w14:solidFill>
                </w14:textFill>
              </w:rPr>
            </w:pPr>
            <w:r>
              <w:rPr>
                <w:rFonts w:hint="eastAsia" w:ascii="宋体" w:hAnsi="宋体" w:eastAsia="宋体"/>
                <w:b w:val="0"/>
                <w:bCs/>
                <w:color w:val="000000" w:themeColor="text1"/>
                <w:kern w:val="0"/>
                <w:sz w:val="18"/>
                <w:szCs w:val="18"/>
                <w:lang w:val="en-US" w:eastAsia="zh-CN"/>
                <w14:textFill>
                  <w14:solidFill>
                    <w14:schemeClr w14:val="tx1"/>
                  </w14:solidFill>
                </w14:textFill>
              </w:rPr>
              <w:t>540000</w:t>
            </w:r>
          </w:p>
        </w:tc>
        <w:tc>
          <w:tcPr>
            <w:tcW w:w="1418" w:type="dxa"/>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center"/>
              <w:rPr>
                <w:rFonts w:ascii="宋体" w:hAnsi="宋体" w:eastAsia="宋体"/>
                <w:b w:val="0"/>
                <w:bCs/>
                <w:color w:val="000000" w:themeColor="text1"/>
                <w:kern w:val="0"/>
                <w:sz w:val="18"/>
                <w:szCs w:val="18"/>
                <w14:textFill>
                  <w14:solidFill>
                    <w14:schemeClr w14:val="tx1"/>
                  </w14:solidFill>
                </w14:textFill>
              </w:rPr>
            </w:pPr>
            <w:r>
              <w:rPr>
                <w:rFonts w:hint="eastAsia" w:ascii="宋体" w:hAnsi="宋体" w:eastAsia="宋体"/>
                <w:b w:val="0"/>
                <w:bCs/>
                <w:color w:val="000000" w:themeColor="text1"/>
                <w:kern w:val="0"/>
                <w:sz w:val="18"/>
                <w:szCs w:val="18"/>
                <w14:textFill>
                  <w14:solidFill>
                    <w14:schemeClr w14:val="tx1"/>
                  </w14:solidFill>
                </w14:textFill>
              </w:rPr>
              <w:t>人·千米</w:t>
            </w:r>
          </w:p>
        </w:tc>
      </w:tr>
    </w:tbl>
    <w:p>
      <w:pPr>
        <w:pStyle w:val="2"/>
        <w:keepNext w:val="0"/>
        <w:keepLines w:val="0"/>
        <w:pageBreakBefore w:val="0"/>
        <w:widowControl w:val="0"/>
        <w:kinsoku/>
        <w:wordWrap/>
        <w:overflowPunct/>
        <w:topLinePunct w:val="0"/>
        <w:autoSpaceDE/>
        <w:autoSpaceDN/>
        <w:bidi w:val="0"/>
        <w:adjustRightInd/>
        <w:snapToGrid/>
        <w:spacing w:after="0" w:line="240" w:lineRule="auto"/>
        <w:textAlignment w:val="auto"/>
        <w:rPr>
          <w:rFonts w:hint="eastAsia" w:ascii="仿宋" w:hAnsi="仿宋" w:eastAsia="仿宋" w:cs="仿宋"/>
          <w:b w:val="0"/>
          <w:bCs/>
          <w:snapToGrid w:val="0"/>
          <w:color w:val="auto"/>
          <w:spacing w:val="6"/>
          <w:kern w:val="0"/>
          <w:sz w:val="18"/>
          <w:szCs w:val="18"/>
          <w:lang w:val="en-US" w:eastAsia="zh-CN" w:bidi="ar-SA"/>
        </w:rPr>
      </w:pPr>
      <w:bookmarkStart w:id="26" w:name="_Toc18990"/>
    </w:p>
    <w:p>
      <w:pPr>
        <w:keepNext w:val="0"/>
        <w:keepLines w:val="0"/>
        <w:pageBreakBefore w:val="0"/>
        <w:widowControl/>
        <w:numPr>
          <w:ilvl w:val="0"/>
          <w:numId w:val="0"/>
        </w:numPr>
        <w:kinsoku/>
        <w:wordWrap/>
        <w:overflowPunct/>
        <w:topLinePunct w:val="0"/>
        <w:autoSpaceDE w:val="0"/>
        <w:autoSpaceDN w:val="0"/>
        <w:bidi w:val="0"/>
        <w:adjustRightInd w:val="0"/>
        <w:snapToGrid w:val="0"/>
        <w:spacing w:before="149" w:beforeLines="50" w:line="240" w:lineRule="auto"/>
        <w:ind w:left="0" w:leftChars="0" w:firstLine="0" w:firstLineChars="0"/>
        <w:textAlignment w:val="baseline"/>
        <w:outlineLvl w:val="0"/>
        <w:rPr>
          <w:rFonts w:hint="eastAsia" w:ascii="微软雅黑" w:hAnsi="微软雅黑" w:eastAsia="微软雅黑" w:cs="微软雅黑"/>
          <w:b w:val="0"/>
          <w:bCs/>
          <w:color w:val="000000" w:themeColor="text1"/>
          <w:kern w:val="2"/>
          <w:sz w:val="28"/>
          <w:szCs w:val="28"/>
          <w:lang w:val="en-US" w:eastAsia="zh-CN" w:bidi="ar-SA"/>
          <w14:textFill>
            <w14:solidFill>
              <w14:schemeClr w14:val="tx1"/>
            </w14:solidFill>
          </w14:textFill>
        </w:rPr>
      </w:pPr>
      <w:r>
        <w:rPr>
          <w:rFonts w:hint="eastAsia" w:ascii="微软雅黑" w:hAnsi="微软雅黑" w:eastAsia="微软雅黑" w:cs="微软雅黑"/>
          <w:b w:val="0"/>
          <w:bCs/>
          <w:color w:val="000000" w:themeColor="text1"/>
          <w:kern w:val="2"/>
          <w:sz w:val="28"/>
          <w:szCs w:val="28"/>
          <w:lang w:val="en-US" w:eastAsia="zh-CN" w:bidi="ar-SA"/>
          <w14:textFill>
            <w14:solidFill>
              <w14:schemeClr w14:val="tx1"/>
            </w14:solidFill>
          </w14:textFill>
        </w:rPr>
        <w:t>6.2 自身经营的碳排放</w:t>
      </w:r>
      <w:bookmarkEnd w:id="26"/>
    </w:p>
    <w:p>
      <w:pPr>
        <w:pageBreakBefore w:val="0"/>
        <w:widowControl/>
        <w:kinsoku w:val="0"/>
        <w:wordWrap/>
        <w:topLinePunct w:val="0"/>
        <w:autoSpaceDE w:val="0"/>
        <w:autoSpaceDN w:val="0"/>
        <w:bidi w:val="0"/>
        <w:adjustRightInd w:val="0"/>
        <w:snapToGrid w:val="0"/>
        <w:spacing w:before="149" w:beforeLines="50" w:line="240" w:lineRule="auto"/>
        <w:ind w:firstLine="480" w:firstLineChars="200"/>
        <w:textAlignment w:val="baseline"/>
        <w:outlineLvl w:val="2"/>
        <w:rPr>
          <w:rFonts w:hint="eastAsia" w:ascii="微软雅黑" w:hAnsi="微软雅黑" w:eastAsia="微软雅黑" w:cs="微软雅黑"/>
          <w:b w:val="0"/>
          <w:bCs/>
          <w:color w:val="000000" w:themeColor="text1"/>
          <w:kern w:val="2"/>
          <w:sz w:val="24"/>
          <w:szCs w:val="24"/>
          <w:lang w:val="en-US" w:eastAsia="zh-CN" w:bidi="ar-SA"/>
          <w14:textFill>
            <w14:solidFill>
              <w14:schemeClr w14:val="tx1"/>
            </w14:solidFill>
          </w14:textFill>
        </w:rPr>
      </w:pPr>
      <w:r>
        <w:rPr>
          <w:rFonts w:hint="eastAsia" w:ascii="微软雅黑" w:hAnsi="微软雅黑" w:eastAsia="微软雅黑" w:cs="微软雅黑"/>
          <w:b w:val="0"/>
          <w:bCs/>
          <w:color w:val="000000" w:themeColor="text1"/>
          <w:kern w:val="2"/>
          <w:sz w:val="24"/>
          <w:szCs w:val="24"/>
          <w:lang w:val="en-US" w:eastAsia="zh-CN" w:bidi="ar-SA"/>
          <w14:textFill>
            <w14:solidFill>
              <w14:schemeClr w14:val="tx1"/>
            </w14:solidFill>
          </w14:textFill>
        </w:rPr>
        <w:t>6.2.1范围一：经营活动的直接碳排放</w:t>
      </w:r>
    </w:p>
    <w:p>
      <w:pPr>
        <w:widowControl/>
        <w:kinsoku w:val="0"/>
        <w:autoSpaceDE w:val="0"/>
        <w:autoSpaceDN w:val="0"/>
        <w:adjustRightInd w:val="0"/>
        <w:snapToGrid w:val="0"/>
        <w:spacing w:before="217" w:beforeLines="50" w:line="240" w:lineRule="auto"/>
        <w:ind w:firstLine="504"/>
        <w:textAlignment w:val="baseline"/>
        <w:rPr>
          <w:b w:val="0"/>
          <w:bCs/>
          <w:color w:val="000000" w:themeColor="text1"/>
          <w14:textFill>
            <w14:solidFill>
              <w14:schemeClr w14:val="tx1"/>
            </w14:solidFill>
          </w14:textFill>
        </w:rPr>
      </w:pPr>
      <w:r>
        <w:rPr>
          <w:rFonts w:hint="eastAsia" w:ascii="仿宋" w:hAnsi="仿宋" w:eastAsia="仿宋" w:cs="仿宋"/>
          <w:b w:val="0"/>
          <w:bCs/>
          <w:snapToGrid w:val="0"/>
          <w:color w:val="000000" w:themeColor="text1"/>
          <w:spacing w:val="6"/>
          <w:kern w:val="0"/>
          <w:sz w:val="24"/>
          <w:szCs w:val="24"/>
          <w14:textFill>
            <w14:solidFill>
              <w14:schemeClr w14:val="tx1"/>
            </w14:solidFill>
          </w14:textFill>
        </w:rPr>
        <w:t>报告年度内本行自身经营活动的直接碳排放总量为</w:t>
      </w:r>
      <w:r>
        <w:rPr>
          <w:rFonts w:hint="eastAsia" w:ascii="仿宋" w:hAnsi="仿宋" w:eastAsia="仿宋" w:cs="仿宋"/>
          <w:b w:val="0"/>
          <w:bCs/>
          <w:snapToGrid w:val="0"/>
          <w:color w:val="000000" w:themeColor="text1"/>
          <w:spacing w:val="6"/>
          <w:kern w:val="0"/>
          <w:sz w:val="24"/>
          <w:szCs w:val="24"/>
          <w:u w:val="single"/>
          <w:lang w:val="en-US" w:eastAsia="zh-CN"/>
          <w14:textFill>
            <w14:solidFill>
              <w14:schemeClr w14:val="tx1"/>
            </w14:solidFill>
          </w14:textFill>
        </w:rPr>
        <w:t xml:space="preserve"> </w:t>
      </w:r>
      <w:r>
        <w:rPr>
          <w:rFonts w:ascii="仿宋" w:hAnsi="仿宋" w:eastAsia="仿宋" w:cs="仿宋"/>
          <w:color w:val="000000"/>
          <w:spacing w:val="6"/>
          <w:sz w:val="24"/>
          <w:u w:val="single" w:color="auto"/>
        </w:rPr>
        <w:t xml:space="preserve">149.76 </w:t>
      </w:r>
      <w:r>
        <w:rPr>
          <w:rFonts w:hint="eastAsia" w:ascii="仿宋" w:hAnsi="仿宋" w:eastAsia="仿宋" w:cs="仿宋"/>
          <w:b w:val="0"/>
          <w:bCs/>
          <w:snapToGrid w:val="0"/>
          <w:color w:val="000000" w:themeColor="text1"/>
          <w:spacing w:val="6"/>
          <w:kern w:val="0"/>
          <w:sz w:val="24"/>
          <w:szCs w:val="24"/>
          <w14:textFill>
            <w14:solidFill>
              <w14:schemeClr w14:val="tx1"/>
            </w14:solidFill>
          </w14:textFill>
        </w:rPr>
        <w:t>tCO</w:t>
      </w:r>
      <w:r>
        <w:rPr>
          <w:rFonts w:hint="eastAsia" w:ascii="仿宋" w:hAnsi="仿宋" w:eastAsia="仿宋" w:cs="仿宋"/>
          <w:b w:val="0"/>
          <w:bCs/>
          <w:snapToGrid w:val="0"/>
          <w:color w:val="000000" w:themeColor="text1"/>
          <w:spacing w:val="6"/>
          <w:kern w:val="0"/>
          <w:sz w:val="24"/>
          <w:szCs w:val="24"/>
          <w:vertAlign w:val="subscript"/>
          <w14:textFill>
            <w14:solidFill>
              <w14:schemeClr w14:val="tx1"/>
            </w14:solidFill>
          </w14:textFill>
        </w:rPr>
        <w:t>2</w:t>
      </w:r>
      <w:r>
        <w:rPr>
          <w:rFonts w:hint="eastAsia" w:ascii="仿宋" w:hAnsi="仿宋" w:eastAsia="仿宋" w:cs="仿宋"/>
          <w:b w:val="0"/>
          <w:bCs/>
          <w:snapToGrid w:val="0"/>
          <w:color w:val="000000" w:themeColor="text1"/>
          <w:spacing w:val="6"/>
          <w:kern w:val="0"/>
          <w:sz w:val="24"/>
          <w:szCs w:val="24"/>
          <w14:textFill>
            <w14:solidFill>
              <w14:schemeClr w14:val="tx1"/>
            </w14:solidFill>
          </w14:textFill>
        </w:rPr>
        <w:t>e（吨二氧化碳当量，下同）。</w:t>
      </w:r>
    </w:p>
    <w:p>
      <w:pPr>
        <w:pageBreakBefore w:val="0"/>
        <w:widowControl/>
        <w:kinsoku w:val="0"/>
        <w:wordWrap/>
        <w:topLinePunct w:val="0"/>
        <w:autoSpaceDE w:val="0"/>
        <w:autoSpaceDN w:val="0"/>
        <w:bidi w:val="0"/>
        <w:adjustRightInd w:val="0"/>
        <w:snapToGrid w:val="0"/>
        <w:spacing w:before="149" w:beforeLines="50" w:line="240" w:lineRule="auto"/>
        <w:ind w:firstLine="480" w:firstLineChars="200"/>
        <w:textAlignment w:val="baseline"/>
        <w:outlineLvl w:val="2"/>
        <w:rPr>
          <w:rFonts w:hint="eastAsia" w:ascii="微软雅黑" w:hAnsi="微软雅黑" w:eastAsia="微软雅黑" w:cs="微软雅黑"/>
          <w:b w:val="0"/>
          <w:bCs/>
          <w:color w:val="000000" w:themeColor="text1"/>
          <w:kern w:val="2"/>
          <w:sz w:val="24"/>
          <w:szCs w:val="24"/>
          <w:lang w:val="en-US" w:eastAsia="zh-CN" w:bidi="ar-SA"/>
          <w14:textFill>
            <w14:solidFill>
              <w14:schemeClr w14:val="tx1"/>
            </w14:solidFill>
          </w14:textFill>
        </w:rPr>
      </w:pPr>
      <w:r>
        <w:rPr>
          <w:rFonts w:hint="eastAsia" w:ascii="微软雅黑" w:hAnsi="微软雅黑" w:eastAsia="微软雅黑" w:cs="微软雅黑"/>
          <w:b w:val="0"/>
          <w:bCs/>
          <w:color w:val="000000" w:themeColor="text1"/>
          <w:kern w:val="2"/>
          <w:sz w:val="24"/>
          <w:szCs w:val="24"/>
          <w:lang w:val="en-US" w:eastAsia="zh-CN" w:bidi="ar-SA"/>
          <w14:textFill>
            <w14:solidFill>
              <w14:schemeClr w14:val="tx1"/>
            </w14:solidFill>
          </w14:textFill>
        </w:rPr>
        <w:t>6.2.2范围二：经营活动的间接碳排放</w:t>
      </w:r>
    </w:p>
    <w:p>
      <w:pPr>
        <w:widowControl/>
        <w:kinsoku w:val="0"/>
        <w:autoSpaceDE w:val="0"/>
        <w:autoSpaceDN w:val="0"/>
        <w:adjustRightInd w:val="0"/>
        <w:snapToGrid w:val="0"/>
        <w:spacing w:before="217" w:beforeLines="50" w:line="240" w:lineRule="auto"/>
        <w:ind w:firstLine="504"/>
        <w:textAlignment w:val="baseline"/>
        <w:rPr>
          <w:b w:val="0"/>
          <w:bCs/>
          <w:color w:val="000000" w:themeColor="text1"/>
          <w14:textFill>
            <w14:solidFill>
              <w14:schemeClr w14:val="tx1"/>
            </w14:solidFill>
          </w14:textFill>
        </w:rPr>
      </w:pPr>
      <w:r>
        <w:rPr>
          <w:rFonts w:hint="eastAsia" w:ascii="仿宋" w:hAnsi="仿宋" w:eastAsia="仿宋" w:cs="仿宋"/>
          <w:b w:val="0"/>
          <w:bCs/>
          <w:snapToGrid w:val="0"/>
          <w:color w:val="000000" w:themeColor="text1"/>
          <w:spacing w:val="6"/>
          <w:kern w:val="0"/>
          <w:sz w:val="24"/>
          <w:szCs w:val="24"/>
          <w14:textFill>
            <w14:solidFill>
              <w14:schemeClr w14:val="tx1"/>
            </w14:solidFill>
          </w14:textFill>
        </w:rPr>
        <w:t>报告年度内本行自身经营活动的间接碳排放总量为</w:t>
      </w:r>
      <w:r>
        <w:rPr>
          <w:rFonts w:hint="eastAsia" w:ascii="仿宋" w:hAnsi="仿宋" w:eastAsia="仿宋" w:cs="仿宋"/>
          <w:b w:val="0"/>
          <w:bCs/>
          <w:snapToGrid w:val="0"/>
          <w:color w:val="000000" w:themeColor="text1"/>
          <w:spacing w:val="6"/>
          <w:kern w:val="0"/>
          <w:sz w:val="24"/>
          <w:szCs w:val="24"/>
          <w:u w:val="single"/>
          <w:lang w:val="en-US" w:eastAsia="zh-CN"/>
          <w14:textFill>
            <w14:solidFill>
              <w14:schemeClr w14:val="tx1"/>
            </w14:solidFill>
          </w14:textFill>
        </w:rPr>
        <w:t xml:space="preserve"> </w:t>
      </w:r>
      <w:r>
        <w:rPr>
          <w:rFonts w:ascii="仿宋" w:hAnsi="仿宋" w:eastAsia="仿宋" w:cs="仿宋"/>
          <w:color w:val="000000"/>
          <w:spacing w:val="6"/>
          <w:sz w:val="24"/>
          <w:u w:val="single" w:color="auto"/>
        </w:rPr>
        <w:t xml:space="preserve">1155 </w:t>
      </w:r>
      <w:r>
        <w:rPr>
          <w:rFonts w:hint="eastAsia" w:ascii="仿宋" w:hAnsi="仿宋" w:eastAsia="仿宋" w:cs="仿宋"/>
          <w:b w:val="0"/>
          <w:bCs/>
          <w:snapToGrid w:val="0"/>
          <w:color w:val="000000" w:themeColor="text1"/>
          <w:spacing w:val="6"/>
          <w:kern w:val="0"/>
          <w:sz w:val="24"/>
          <w:szCs w:val="24"/>
          <w14:textFill>
            <w14:solidFill>
              <w14:schemeClr w14:val="tx1"/>
            </w14:solidFill>
          </w14:textFill>
        </w:rPr>
        <w:t>tCO</w:t>
      </w:r>
      <w:r>
        <w:rPr>
          <w:rFonts w:hint="eastAsia" w:ascii="仿宋" w:hAnsi="仿宋" w:eastAsia="仿宋" w:cs="仿宋"/>
          <w:b w:val="0"/>
          <w:bCs/>
          <w:snapToGrid w:val="0"/>
          <w:color w:val="000000" w:themeColor="text1"/>
          <w:spacing w:val="6"/>
          <w:kern w:val="0"/>
          <w:sz w:val="24"/>
          <w:szCs w:val="24"/>
          <w:vertAlign w:val="subscript"/>
          <w14:textFill>
            <w14:solidFill>
              <w14:schemeClr w14:val="tx1"/>
            </w14:solidFill>
          </w14:textFill>
        </w:rPr>
        <w:t>2</w:t>
      </w:r>
      <w:r>
        <w:rPr>
          <w:rFonts w:hint="eastAsia" w:ascii="仿宋" w:hAnsi="仿宋" w:eastAsia="仿宋" w:cs="仿宋"/>
          <w:b w:val="0"/>
          <w:bCs/>
          <w:snapToGrid w:val="0"/>
          <w:color w:val="000000" w:themeColor="text1"/>
          <w:spacing w:val="6"/>
          <w:kern w:val="0"/>
          <w:sz w:val="24"/>
          <w:szCs w:val="24"/>
          <w14:textFill>
            <w14:solidFill>
              <w14:schemeClr w14:val="tx1"/>
            </w14:solidFill>
          </w14:textFill>
        </w:rPr>
        <w:t>e，排放源主要来自于本行营业办公消耗的外部输入的电力、热、冷或蒸汽。</w:t>
      </w:r>
    </w:p>
    <w:p>
      <w:pPr>
        <w:pageBreakBefore w:val="0"/>
        <w:widowControl/>
        <w:kinsoku w:val="0"/>
        <w:wordWrap/>
        <w:topLinePunct w:val="0"/>
        <w:autoSpaceDE w:val="0"/>
        <w:autoSpaceDN w:val="0"/>
        <w:bidi w:val="0"/>
        <w:adjustRightInd w:val="0"/>
        <w:snapToGrid w:val="0"/>
        <w:spacing w:before="149" w:beforeLines="50" w:line="240" w:lineRule="auto"/>
        <w:ind w:firstLine="480" w:firstLineChars="200"/>
        <w:textAlignment w:val="baseline"/>
        <w:outlineLvl w:val="2"/>
        <w:rPr>
          <w:rFonts w:hint="eastAsia" w:ascii="微软雅黑" w:hAnsi="微软雅黑" w:eastAsia="微软雅黑" w:cs="微软雅黑"/>
          <w:b w:val="0"/>
          <w:bCs/>
          <w:color w:val="000000" w:themeColor="text1"/>
          <w:kern w:val="2"/>
          <w:sz w:val="24"/>
          <w:szCs w:val="24"/>
          <w:lang w:val="en-US" w:eastAsia="zh-CN" w:bidi="ar-SA"/>
          <w14:textFill>
            <w14:solidFill>
              <w14:schemeClr w14:val="tx1"/>
            </w14:solidFill>
          </w14:textFill>
        </w:rPr>
      </w:pPr>
      <w:r>
        <w:rPr>
          <w:rFonts w:hint="eastAsia" w:ascii="微软雅黑" w:hAnsi="微软雅黑" w:eastAsia="微软雅黑" w:cs="微软雅黑"/>
          <w:b w:val="0"/>
          <w:bCs/>
          <w:color w:val="000000" w:themeColor="text1"/>
          <w:kern w:val="2"/>
          <w:sz w:val="24"/>
          <w:szCs w:val="24"/>
          <w:lang w:val="en-US" w:eastAsia="zh-CN" w:bidi="ar-SA"/>
          <w14:textFill>
            <w14:solidFill>
              <w14:schemeClr w14:val="tx1"/>
            </w14:solidFill>
          </w14:textFill>
        </w:rPr>
        <w:t>6.2.3范围三：经营活动的价值链碳排放</w:t>
      </w:r>
    </w:p>
    <w:p>
      <w:pPr>
        <w:widowControl/>
        <w:kinsoku w:val="0"/>
        <w:autoSpaceDE w:val="0"/>
        <w:autoSpaceDN w:val="0"/>
        <w:adjustRightInd w:val="0"/>
        <w:snapToGrid w:val="0"/>
        <w:spacing w:before="217" w:beforeLines="50" w:line="240" w:lineRule="auto"/>
        <w:ind w:firstLine="504"/>
        <w:textAlignment w:val="baseline"/>
        <w:rPr>
          <w:rFonts w:ascii="仿宋" w:hAnsi="仿宋" w:eastAsia="仿宋" w:cs="仿宋"/>
          <w:b w:val="0"/>
          <w:bCs/>
          <w:snapToGrid w:val="0"/>
          <w:color w:val="000000" w:themeColor="text1"/>
          <w:spacing w:val="6"/>
          <w:kern w:val="0"/>
          <w:sz w:val="24"/>
          <w:szCs w:val="24"/>
          <w14:textFill>
            <w14:solidFill>
              <w14:schemeClr w14:val="tx1"/>
            </w14:solidFill>
          </w14:textFill>
        </w:rPr>
      </w:pPr>
      <w:r>
        <w:rPr>
          <w:rFonts w:hint="eastAsia" w:ascii="仿宋" w:hAnsi="仿宋" w:eastAsia="仿宋" w:cs="仿宋"/>
          <w:b w:val="0"/>
          <w:bCs/>
          <w:snapToGrid w:val="0"/>
          <w:color w:val="000000" w:themeColor="text1"/>
          <w:spacing w:val="6"/>
          <w:kern w:val="0"/>
          <w:sz w:val="24"/>
          <w:szCs w:val="24"/>
          <w14:textFill>
            <w14:solidFill>
              <w14:schemeClr w14:val="tx1"/>
            </w14:solidFill>
          </w14:textFill>
        </w:rPr>
        <w:t>本行自身经营的价值链碳排放（范围三（不含投资））为</w:t>
      </w:r>
      <w:r>
        <w:rPr>
          <w:rFonts w:hint="eastAsia" w:ascii="仿宋" w:hAnsi="仿宋" w:eastAsia="仿宋" w:cs="仿宋"/>
          <w:b w:val="0"/>
          <w:bCs/>
          <w:snapToGrid w:val="0"/>
          <w:color w:val="000000" w:themeColor="text1"/>
          <w:spacing w:val="6"/>
          <w:kern w:val="0"/>
          <w:sz w:val="24"/>
          <w:szCs w:val="24"/>
          <w:u w:val="single"/>
          <w:lang w:val="en-US" w:eastAsia="zh-CN"/>
          <w14:textFill>
            <w14:solidFill>
              <w14:schemeClr w14:val="tx1"/>
            </w14:solidFill>
          </w14:textFill>
        </w:rPr>
        <w:t xml:space="preserve"> </w:t>
      </w:r>
      <w:r>
        <w:rPr>
          <w:rFonts w:ascii="仿宋" w:hAnsi="仿宋" w:eastAsia="仿宋" w:cs="仿宋"/>
          <w:color w:val="000000"/>
          <w:spacing w:val="6"/>
          <w:sz w:val="24"/>
          <w:u w:val="single" w:color="auto"/>
        </w:rPr>
        <w:t xml:space="preserve">282.78 </w:t>
      </w:r>
      <w:r>
        <w:rPr>
          <w:rFonts w:hint="eastAsia" w:ascii="仿宋" w:hAnsi="仿宋" w:eastAsia="仿宋" w:cs="仿宋"/>
          <w:b w:val="0"/>
          <w:bCs/>
          <w:snapToGrid w:val="0"/>
          <w:color w:val="000000" w:themeColor="text1"/>
          <w:spacing w:val="6"/>
          <w:kern w:val="0"/>
          <w:sz w:val="24"/>
          <w:szCs w:val="24"/>
          <w14:textFill>
            <w14:solidFill>
              <w14:schemeClr w14:val="tx1"/>
            </w14:solidFill>
          </w14:textFill>
        </w:rPr>
        <w:t>tCO</w:t>
      </w:r>
      <w:r>
        <w:rPr>
          <w:rFonts w:hint="eastAsia" w:ascii="仿宋" w:hAnsi="仿宋" w:eastAsia="仿宋" w:cs="仿宋"/>
          <w:b w:val="0"/>
          <w:bCs/>
          <w:snapToGrid w:val="0"/>
          <w:color w:val="000000" w:themeColor="text1"/>
          <w:spacing w:val="6"/>
          <w:kern w:val="0"/>
          <w:sz w:val="24"/>
          <w:szCs w:val="24"/>
          <w:vertAlign w:val="subscript"/>
          <w14:textFill>
            <w14:solidFill>
              <w14:schemeClr w14:val="tx1"/>
            </w14:solidFill>
          </w14:textFill>
        </w:rPr>
        <w:t>2</w:t>
      </w:r>
      <w:r>
        <w:rPr>
          <w:rFonts w:hint="eastAsia" w:ascii="仿宋" w:hAnsi="仿宋" w:eastAsia="仿宋" w:cs="仿宋"/>
          <w:b w:val="0"/>
          <w:bCs/>
          <w:snapToGrid w:val="0"/>
          <w:color w:val="000000" w:themeColor="text1"/>
          <w:spacing w:val="6"/>
          <w:kern w:val="0"/>
          <w:sz w:val="24"/>
          <w:szCs w:val="24"/>
          <w14:textFill>
            <w14:solidFill>
              <w14:schemeClr w14:val="tx1"/>
            </w14:solidFill>
          </w14:textFill>
        </w:rPr>
        <w:t>e。其中，购买商品与服务产生的碳排放</w:t>
      </w:r>
      <w:r>
        <w:rPr>
          <w:rFonts w:hint="eastAsia" w:ascii="仿宋" w:hAnsi="仿宋" w:eastAsia="仿宋" w:cs="仿宋"/>
          <w:b w:val="0"/>
          <w:bCs/>
          <w:snapToGrid w:val="0"/>
          <w:color w:val="000000" w:themeColor="text1"/>
          <w:spacing w:val="6"/>
          <w:kern w:val="0"/>
          <w:sz w:val="24"/>
          <w:szCs w:val="24"/>
          <w:u w:val="single"/>
          <w:lang w:val="en-US" w:eastAsia="zh-CN"/>
          <w14:textFill>
            <w14:solidFill>
              <w14:schemeClr w14:val="tx1"/>
            </w14:solidFill>
          </w14:textFill>
        </w:rPr>
        <w:t xml:space="preserve"> </w:t>
      </w:r>
      <w:r>
        <w:rPr>
          <w:rFonts w:ascii="仿宋" w:hAnsi="仿宋" w:eastAsia="仿宋" w:cs="仿宋"/>
          <w:color w:val="000000"/>
          <w:spacing w:val="6"/>
          <w:sz w:val="24"/>
          <w:u w:val="single" w:color="auto"/>
        </w:rPr>
        <w:t>224.</w:t>
      </w:r>
      <w:r>
        <w:rPr>
          <w:rFonts w:hint="eastAsia" w:ascii="仿宋" w:hAnsi="仿宋" w:eastAsia="仿宋" w:cs="仿宋"/>
          <w:color w:val="000000"/>
          <w:spacing w:val="6"/>
          <w:sz w:val="24"/>
          <w:u w:val="single" w:color="auto"/>
          <w:lang w:val="en-US" w:eastAsia="zh-CN"/>
        </w:rPr>
        <w:t>90</w:t>
      </w:r>
      <w:r>
        <w:rPr>
          <w:rFonts w:ascii="仿宋" w:hAnsi="仿宋" w:eastAsia="仿宋" w:cs="仿宋"/>
          <w:color w:val="000000"/>
          <w:spacing w:val="6"/>
          <w:sz w:val="24"/>
          <w:u w:val="single" w:color="auto"/>
        </w:rPr>
        <w:t xml:space="preserve"> </w:t>
      </w:r>
      <w:r>
        <w:rPr>
          <w:rFonts w:hint="eastAsia" w:ascii="仿宋" w:hAnsi="仿宋" w:eastAsia="仿宋" w:cs="仿宋"/>
          <w:b w:val="0"/>
          <w:bCs/>
          <w:snapToGrid w:val="0"/>
          <w:color w:val="000000" w:themeColor="text1"/>
          <w:spacing w:val="6"/>
          <w:kern w:val="0"/>
          <w:sz w:val="24"/>
          <w:szCs w:val="24"/>
          <w14:textFill>
            <w14:solidFill>
              <w14:schemeClr w14:val="tx1"/>
            </w14:solidFill>
          </w14:textFill>
        </w:rPr>
        <w:t>tCO</w:t>
      </w:r>
      <w:r>
        <w:rPr>
          <w:rFonts w:hint="eastAsia" w:ascii="仿宋" w:hAnsi="仿宋" w:eastAsia="仿宋" w:cs="仿宋"/>
          <w:b w:val="0"/>
          <w:bCs/>
          <w:snapToGrid w:val="0"/>
          <w:color w:val="000000" w:themeColor="text1"/>
          <w:spacing w:val="6"/>
          <w:kern w:val="0"/>
          <w:sz w:val="24"/>
          <w:szCs w:val="24"/>
          <w:vertAlign w:val="subscript"/>
          <w14:textFill>
            <w14:solidFill>
              <w14:schemeClr w14:val="tx1"/>
            </w14:solidFill>
          </w14:textFill>
        </w:rPr>
        <w:t>2</w:t>
      </w:r>
      <w:r>
        <w:rPr>
          <w:rFonts w:hint="eastAsia" w:ascii="仿宋" w:hAnsi="仿宋" w:eastAsia="仿宋" w:cs="仿宋"/>
          <w:b w:val="0"/>
          <w:bCs/>
          <w:snapToGrid w:val="0"/>
          <w:color w:val="000000" w:themeColor="text1"/>
          <w:spacing w:val="6"/>
          <w:kern w:val="0"/>
          <w:sz w:val="24"/>
          <w:szCs w:val="24"/>
          <w14:textFill>
            <w14:solidFill>
              <w14:schemeClr w14:val="tx1"/>
            </w14:solidFill>
          </w14:textFill>
        </w:rPr>
        <w:t>e，上游运输和配送产生的碳排放</w:t>
      </w:r>
      <w:r>
        <w:rPr>
          <w:rFonts w:hint="eastAsia" w:ascii="仿宋" w:hAnsi="仿宋" w:eastAsia="仿宋" w:cs="仿宋"/>
          <w:b w:val="0"/>
          <w:bCs/>
          <w:snapToGrid w:val="0"/>
          <w:color w:val="000000" w:themeColor="text1"/>
          <w:spacing w:val="6"/>
          <w:kern w:val="0"/>
          <w:sz w:val="24"/>
          <w:szCs w:val="24"/>
          <w:u w:val="single"/>
          <w:lang w:val="en-US" w:eastAsia="zh-CN"/>
          <w14:textFill>
            <w14:solidFill>
              <w14:schemeClr w14:val="tx1"/>
            </w14:solidFill>
          </w14:textFill>
        </w:rPr>
        <w:t xml:space="preserve"> </w:t>
      </w:r>
      <w:r>
        <w:rPr>
          <w:rFonts w:ascii="仿宋" w:hAnsi="仿宋" w:eastAsia="仿宋" w:cs="仿宋"/>
          <w:color w:val="000000"/>
          <w:spacing w:val="6"/>
          <w:sz w:val="24"/>
          <w:u w:val="single" w:color="auto"/>
        </w:rPr>
        <w:t xml:space="preserve">4.98 </w:t>
      </w:r>
      <w:r>
        <w:rPr>
          <w:rFonts w:hint="eastAsia" w:ascii="仿宋" w:hAnsi="仿宋" w:eastAsia="仿宋" w:cs="仿宋"/>
          <w:b w:val="0"/>
          <w:bCs/>
          <w:snapToGrid w:val="0"/>
          <w:color w:val="000000" w:themeColor="text1"/>
          <w:spacing w:val="6"/>
          <w:kern w:val="0"/>
          <w:sz w:val="24"/>
          <w:szCs w:val="24"/>
          <w14:textFill>
            <w14:solidFill>
              <w14:schemeClr w14:val="tx1"/>
            </w14:solidFill>
          </w14:textFill>
        </w:rPr>
        <w:t>tCO</w:t>
      </w:r>
      <w:r>
        <w:rPr>
          <w:rFonts w:hint="eastAsia" w:ascii="仿宋" w:hAnsi="仿宋" w:eastAsia="仿宋" w:cs="仿宋"/>
          <w:b w:val="0"/>
          <w:bCs/>
          <w:snapToGrid w:val="0"/>
          <w:color w:val="000000" w:themeColor="text1"/>
          <w:spacing w:val="6"/>
          <w:kern w:val="0"/>
          <w:sz w:val="24"/>
          <w:szCs w:val="24"/>
          <w:vertAlign w:val="subscript"/>
          <w14:textFill>
            <w14:solidFill>
              <w14:schemeClr w14:val="tx1"/>
            </w14:solidFill>
          </w14:textFill>
        </w:rPr>
        <w:t>2</w:t>
      </w:r>
      <w:r>
        <w:rPr>
          <w:rFonts w:hint="eastAsia" w:ascii="仿宋" w:hAnsi="仿宋" w:eastAsia="仿宋" w:cs="仿宋"/>
          <w:b w:val="0"/>
          <w:bCs/>
          <w:snapToGrid w:val="0"/>
          <w:color w:val="000000" w:themeColor="text1"/>
          <w:spacing w:val="6"/>
          <w:kern w:val="0"/>
          <w:sz w:val="24"/>
          <w:szCs w:val="24"/>
          <w14:textFill>
            <w14:solidFill>
              <w14:schemeClr w14:val="tx1"/>
            </w14:solidFill>
          </w14:textFill>
        </w:rPr>
        <w:t>e，运营中产生的废弃物产生的碳排放</w:t>
      </w:r>
      <w:r>
        <w:rPr>
          <w:rFonts w:hint="eastAsia" w:ascii="仿宋" w:hAnsi="仿宋" w:eastAsia="仿宋" w:cs="仿宋"/>
          <w:b w:val="0"/>
          <w:bCs/>
          <w:snapToGrid w:val="0"/>
          <w:color w:val="000000" w:themeColor="text1"/>
          <w:spacing w:val="6"/>
          <w:kern w:val="0"/>
          <w:sz w:val="24"/>
          <w:szCs w:val="24"/>
          <w:u w:val="single"/>
          <w14:textFill>
            <w14:solidFill>
              <w14:schemeClr w14:val="tx1"/>
            </w14:solidFill>
          </w14:textFill>
        </w:rPr>
        <w:t xml:space="preserve"> </w:t>
      </w:r>
      <w:r>
        <w:rPr>
          <w:rFonts w:hint="eastAsia" w:ascii="仿宋" w:hAnsi="仿宋" w:eastAsia="仿宋" w:cs="仿宋"/>
          <w:b w:val="0"/>
          <w:bCs/>
          <w:snapToGrid w:val="0"/>
          <w:color w:val="000000" w:themeColor="text1"/>
          <w:spacing w:val="6"/>
          <w:kern w:val="0"/>
          <w:sz w:val="24"/>
          <w:szCs w:val="24"/>
          <w:u w:val="single"/>
          <w:lang w:val="en-US" w:eastAsia="zh-CN"/>
          <w14:textFill>
            <w14:solidFill>
              <w14:schemeClr w14:val="tx1"/>
            </w14:solidFill>
          </w14:textFill>
        </w:rPr>
        <w:t>2.50</w:t>
      </w:r>
      <w:r>
        <w:rPr>
          <w:rFonts w:hint="eastAsia" w:ascii="仿宋" w:hAnsi="仿宋" w:eastAsia="仿宋" w:cs="仿宋"/>
          <w:b w:val="0"/>
          <w:bCs/>
          <w:color w:val="000000" w:themeColor="text1"/>
          <w:spacing w:val="6"/>
          <w:sz w:val="24"/>
          <w:u w:val="single"/>
          <w14:textFill>
            <w14:solidFill>
              <w14:schemeClr w14:val="tx1"/>
            </w14:solidFill>
          </w14:textFill>
        </w:rPr>
        <w:t xml:space="preserve"> </w:t>
      </w:r>
      <w:r>
        <w:rPr>
          <w:rFonts w:hint="eastAsia" w:ascii="仿宋" w:hAnsi="仿宋" w:eastAsia="仿宋" w:cs="仿宋"/>
          <w:b w:val="0"/>
          <w:bCs/>
          <w:snapToGrid w:val="0"/>
          <w:color w:val="000000" w:themeColor="text1"/>
          <w:spacing w:val="6"/>
          <w:kern w:val="0"/>
          <w:sz w:val="24"/>
          <w:szCs w:val="24"/>
          <w14:textFill>
            <w14:solidFill>
              <w14:schemeClr w14:val="tx1"/>
            </w14:solidFill>
          </w14:textFill>
        </w:rPr>
        <w:t>tCO</w:t>
      </w:r>
      <w:r>
        <w:rPr>
          <w:rFonts w:hint="eastAsia" w:ascii="仿宋" w:hAnsi="仿宋" w:eastAsia="仿宋" w:cs="仿宋"/>
          <w:b w:val="0"/>
          <w:bCs/>
          <w:snapToGrid w:val="0"/>
          <w:color w:val="000000" w:themeColor="text1"/>
          <w:spacing w:val="6"/>
          <w:kern w:val="0"/>
          <w:sz w:val="24"/>
          <w:szCs w:val="24"/>
          <w:vertAlign w:val="subscript"/>
          <w14:textFill>
            <w14:solidFill>
              <w14:schemeClr w14:val="tx1"/>
            </w14:solidFill>
          </w14:textFill>
        </w:rPr>
        <w:t>2</w:t>
      </w:r>
      <w:r>
        <w:rPr>
          <w:rFonts w:hint="eastAsia" w:ascii="仿宋" w:hAnsi="仿宋" w:eastAsia="仿宋" w:cs="仿宋"/>
          <w:b w:val="0"/>
          <w:bCs/>
          <w:snapToGrid w:val="0"/>
          <w:color w:val="000000" w:themeColor="text1"/>
          <w:spacing w:val="6"/>
          <w:kern w:val="0"/>
          <w:sz w:val="24"/>
          <w:szCs w:val="24"/>
          <w14:textFill>
            <w14:solidFill>
              <w14:schemeClr w14:val="tx1"/>
            </w14:solidFill>
          </w14:textFill>
        </w:rPr>
        <w:t>e，差旅产生的碳排放</w:t>
      </w:r>
      <w:r>
        <w:rPr>
          <w:rFonts w:hint="eastAsia" w:ascii="仿宋" w:hAnsi="仿宋" w:eastAsia="仿宋" w:cs="仿宋"/>
          <w:b w:val="0"/>
          <w:bCs/>
          <w:snapToGrid w:val="0"/>
          <w:color w:val="000000" w:themeColor="text1"/>
          <w:spacing w:val="6"/>
          <w:kern w:val="0"/>
          <w:sz w:val="24"/>
          <w:szCs w:val="24"/>
          <w:u w:val="single"/>
          <w14:textFill>
            <w14:solidFill>
              <w14:schemeClr w14:val="tx1"/>
            </w14:solidFill>
          </w14:textFill>
        </w:rPr>
        <w:t xml:space="preserve"> </w:t>
      </w:r>
      <w:r>
        <w:rPr>
          <w:rFonts w:hint="eastAsia" w:ascii="仿宋" w:hAnsi="仿宋" w:eastAsia="仿宋" w:cs="仿宋"/>
          <w:b w:val="0"/>
          <w:bCs/>
          <w:snapToGrid w:val="0"/>
          <w:color w:val="000000" w:themeColor="text1"/>
          <w:spacing w:val="6"/>
          <w:kern w:val="0"/>
          <w:sz w:val="24"/>
          <w:szCs w:val="24"/>
          <w:u w:val="single"/>
          <w:lang w:val="en-US" w:eastAsia="zh-CN"/>
          <w14:textFill>
            <w14:solidFill>
              <w14:schemeClr w14:val="tx1"/>
            </w14:solidFill>
          </w14:textFill>
        </w:rPr>
        <w:t>20.73</w:t>
      </w:r>
      <w:r>
        <w:rPr>
          <w:rFonts w:hint="eastAsia" w:ascii="仿宋" w:hAnsi="仿宋" w:eastAsia="仿宋" w:cs="仿宋"/>
          <w:b w:val="0"/>
          <w:bCs/>
          <w:color w:val="000000" w:themeColor="text1"/>
          <w:spacing w:val="6"/>
          <w:sz w:val="24"/>
          <w:u w:val="single"/>
          <w14:textFill>
            <w14:solidFill>
              <w14:schemeClr w14:val="tx1"/>
            </w14:solidFill>
          </w14:textFill>
        </w:rPr>
        <w:t xml:space="preserve"> </w:t>
      </w:r>
      <w:r>
        <w:rPr>
          <w:rFonts w:hint="eastAsia" w:ascii="仿宋" w:hAnsi="仿宋" w:eastAsia="仿宋" w:cs="仿宋"/>
          <w:b w:val="0"/>
          <w:bCs/>
          <w:snapToGrid w:val="0"/>
          <w:color w:val="000000" w:themeColor="text1"/>
          <w:spacing w:val="6"/>
          <w:kern w:val="0"/>
          <w:sz w:val="24"/>
          <w:szCs w:val="24"/>
          <w14:textFill>
            <w14:solidFill>
              <w14:schemeClr w14:val="tx1"/>
            </w14:solidFill>
          </w14:textFill>
        </w:rPr>
        <w:t>tCO</w:t>
      </w:r>
      <w:r>
        <w:rPr>
          <w:rFonts w:hint="eastAsia" w:ascii="仿宋" w:hAnsi="仿宋" w:eastAsia="仿宋" w:cs="仿宋"/>
          <w:b w:val="0"/>
          <w:bCs/>
          <w:snapToGrid w:val="0"/>
          <w:color w:val="000000" w:themeColor="text1"/>
          <w:spacing w:val="6"/>
          <w:kern w:val="0"/>
          <w:sz w:val="24"/>
          <w:szCs w:val="24"/>
          <w:vertAlign w:val="subscript"/>
          <w14:textFill>
            <w14:solidFill>
              <w14:schemeClr w14:val="tx1"/>
            </w14:solidFill>
          </w14:textFill>
        </w:rPr>
        <w:t>2</w:t>
      </w:r>
      <w:r>
        <w:rPr>
          <w:rFonts w:hint="eastAsia" w:ascii="仿宋" w:hAnsi="仿宋" w:eastAsia="仿宋" w:cs="仿宋"/>
          <w:b w:val="0"/>
          <w:bCs/>
          <w:snapToGrid w:val="0"/>
          <w:color w:val="000000" w:themeColor="text1"/>
          <w:spacing w:val="6"/>
          <w:kern w:val="0"/>
          <w:sz w:val="24"/>
          <w:szCs w:val="24"/>
          <w14:textFill>
            <w14:solidFill>
              <w14:schemeClr w14:val="tx1"/>
            </w14:solidFill>
          </w14:textFill>
        </w:rPr>
        <w:t>e，员工通勤产生的碳排放</w:t>
      </w:r>
      <w:r>
        <w:rPr>
          <w:rFonts w:hint="eastAsia" w:ascii="仿宋" w:hAnsi="仿宋" w:eastAsia="仿宋" w:cs="仿宋"/>
          <w:b w:val="0"/>
          <w:bCs/>
          <w:snapToGrid w:val="0"/>
          <w:color w:val="000000" w:themeColor="text1"/>
          <w:spacing w:val="6"/>
          <w:kern w:val="0"/>
          <w:sz w:val="24"/>
          <w:szCs w:val="24"/>
          <w:u w:val="single"/>
          <w14:textFill>
            <w14:solidFill>
              <w14:schemeClr w14:val="tx1"/>
            </w14:solidFill>
          </w14:textFill>
        </w:rPr>
        <w:t xml:space="preserve"> </w:t>
      </w:r>
      <w:r>
        <w:rPr>
          <w:rFonts w:hint="eastAsia" w:ascii="仿宋" w:hAnsi="仿宋" w:eastAsia="仿宋" w:cs="仿宋"/>
          <w:b w:val="0"/>
          <w:bCs/>
          <w:snapToGrid w:val="0"/>
          <w:color w:val="000000" w:themeColor="text1"/>
          <w:spacing w:val="6"/>
          <w:kern w:val="0"/>
          <w:sz w:val="24"/>
          <w:szCs w:val="24"/>
          <w:u w:val="single"/>
          <w:lang w:val="en-US" w:eastAsia="zh-CN"/>
          <w14:textFill>
            <w14:solidFill>
              <w14:schemeClr w14:val="tx1"/>
            </w14:solidFill>
          </w14:textFill>
        </w:rPr>
        <w:t>29.68</w:t>
      </w:r>
      <w:r>
        <w:rPr>
          <w:rFonts w:hint="eastAsia" w:ascii="仿宋" w:hAnsi="仿宋" w:eastAsia="仿宋" w:cs="仿宋"/>
          <w:b w:val="0"/>
          <w:bCs/>
          <w:color w:val="000000" w:themeColor="text1"/>
          <w:spacing w:val="6"/>
          <w:sz w:val="24"/>
          <w:u w:val="single"/>
          <w14:textFill>
            <w14:solidFill>
              <w14:schemeClr w14:val="tx1"/>
            </w14:solidFill>
          </w14:textFill>
        </w:rPr>
        <w:t xml:space="preserve"> </w:t>
      </w:r>
      <w:r>
        <w:rPr>
          <w:rFonts w:hint="eastAsia" w:ascii="仿宋" w:hAnsi="仿宋" w:eastAsia="仿宋" w:cs="仿宋"/>
          <w:b w:val="0"/>
          <w:bCs/>
          <w:snapToGrid w:val="0"/>
          <w:color w:val="000000" w:themeColor="text1"/>
          <w:spacing w:val="6"/>
          <w:kern w:val="0"/>
          <w:sz w:val="24"/>
          <w:szCs w:val="24"/>
          <w14:textFill>
            <w14:solidFill>
              <w14:schemeClr w14:val="tx1"/>
            </w14:solidFill>
          </w14:textFill>
        </w:rPr>
        <w:t>tCO</w:t>
      </w:r>
      <w:r>
        <w:rPr>
          <w:rFonts w:hint="eastAsia" w:ascii="仿宋" w:hAnsi="仿宋" w:eastAsia="仿宋" w:cs="仿宋"/>
          <w:b w:val="0"/>
          <w:bCs/>
          <w:snapToGrid w:val="0"/>
          <w:color w:val="000000" w:themeColor="text1"/>
          <w:spacing w:val="6"/>
          <w:kern w:val="0"/>
          <w:sz w:val="24"/>
          <w:szCs w:val="24"/>
          <w:vertAlign w:val="subscript"/>
          <w14:textFill>
            <w14:solidFill>
              <w14:schemeClr w14:val="tx1"/>
            </w14:solidFill>
          </w14:textFill>
        </w:rPr>
        <w:t>2</w:t>
      </w:r>
      <w:r>
        <w:rPr>
          <w:rFonts w:hint="eastAsia" w:ascii="仿宋" w:hAnsi="仿宋" w:eastAsia="仿宋" w:cs="仿宋"/>
          <w:b w:val="0"/>
          <w:bCs/>
          <w:snapToGrid w:val="0"/>
          <w:color w:val="000000" w:themeColor="text1"/>
          <w:spacing w:val="6"/>
          <w:kern w:val="0"/>
          <w:sz w:val="24"/>
          <w:szCs w:val="24"/>
          <w14:textFill>
            <w14:solidFill>
              <w14:schemeClr w14:val="tx1"/>
            </w14:solidFill>
          </w14:textFill>
        </w:rPr>
        <w:t>e。</w:t>
      </w:r>
    </w:p>
    <w:p>
      <w:pPr>
        <w:pageBreakBefore w:val="0"/>
        <w:widowControl/>
        <w:kinsoku w:val="0"/>
        <w:wordWrap/>
        <w:topLinePunct w:val="0"/>
        <w:autoSpaceDE w:val="0"/>
        <w:autoSpaceDN w:val="0"/>
        <w:bidi w:val="0"/>
        <w:adjustRightInd w:val="0"/>
        <w:snapToGrid w:val="0"/>
        <w:spacing w:before="149" w:beforeLines="50" w:line="240" w:lineRule="auto"/>
        <w:ind w:firstLine="480" w:firstLineChars="200"/>
        <w:textAlignment w:val="baseline"/>
        <w:outlineLvl w:val="2"/>
        <w:rPr>
          <w:rFonts w:hint="eastAsia" w:ascii="微软雅黑" w:hAnsi="微软雅黑" w:eastAsia="微软雅黑" w:cs="微软雅黑"/>
          <w:b w:val="0"/>
          <w:bCs/>
          <w:color w:val="000000" w:themeColor="text1"/>
          <w:kern w:val="2"/>
          <w:sz w:val="24"/>
          <w:szCs w:val="24"/>
          <w:lang w:val="en-US" w:eastAsia="zh-CN" w:bidi="ar-SA"/>
          <w14:textFill>
            <w14:solidFill>
              <w14:schemeClr w14:val="tx1"/>
            </w14:solidFill>
          </w14:textFill>
        </w:rPr>
      </w:pPr>
      <w:r>
        <w:rPr>
          <w:rFonts w:hint="eastAsia" w:ascii="微软雅黑" w:hAnsi="微软雅黑" w:eastAsia="微软雅黑" w:cs="微软雅黑"/>
          <w:b w:val="0"/>
          <w:bCs/>
          <w:color w:val="000000" w:themeColor="text1"/>
          <w:kern w:val="2"/>
          <w:sz w:val="24"/>
          <w:szCs w:val="24"/>
          <w:lang w:val="en-US" w:eastAsia="zh-CN" w:bidi="ar-SA"/>
          <w14:textFill>
            <w14:solidFill>
              <w14:schemeClr w14:val="tx1"/>
            </w14:solidFill>
          </w14:textFill>
        </w:rPr>
        <w:t>6.2.4经营活动碳排放强度</w:t>
      </w:r>
    </w:p>
    <w:p>
      <w:pPr>
        <w:spacing w:line="240" w:lineRule="auto"/>
        <w:ind w:firstLine="504"/>
        <w:rPr>
          <w:rFonts w:hint="eastAsia" w:ascii="仿宋" w:hAnsi="仿宋" w:eastAsia="仿宋" w:cs="仿宋"/>
          <w:b w:val="0"/>
          <w:bCs/>
          <w:snapToGrid w:val="0"/>
          <w:color w:val="000000" w:themeColor="text1"/>
          <w:spacing w:val="6"/>
          <w:kern w:val="0"/>
          <w:sz w:val="24"/>
          <w:szCs w:val="24"/>
          <w14:textFill>
            <w14:solidFill>
              <w14:schemeClr w14:val="tx1"/>
            </w14:solidFill>
          </w14:textFill>
        </w:rPr>
      </w:pPr>
      <w:r>
        <w:rPr>
          <w:rFonts w:hint="eastAsia" w:ascii="仿宋" w:hAnsi="仿宋" w:eastAsia="仿宋" w:cs="仿宋"/>
          <w:b w:val="0"/>
          <w:bCs/>
          <w:snapToGrid w:val="0"/>
          <w:color w:val="000000" w:themeColor="text1"/>
          <w:spacing w:val="6"/>
          <w:kern w:val="0"/>
          <w:sz w:val="24"/>
          <w:szCs w:val="24"/>
          <w14:textFill>
            <w14:solidFill>
              <w14:schemeClr w14:val="tx1"/>
            </w14:solidFill>
          </w14:textFill>
        </w:rPr>
        <w:t>本行自身经营碳排放总量（不含范围三）为</w:t>
      </w:r>
      <w:r>
        <w:rPr>
          <w:rFonts w:hint="eastAsia" w:ascii="仿宋" w:hAnsi="仿宋" w:eastAsia="仿宋" w:cs="仿宋"/>
          <w:b w:val="0"/>
          <w:bCs/>
          <w:color w:val="000000" w:themeColor="text1"/>
          <w:spacing w:val="6"/>
          <w:sz w:val="24"/>
          <w:u w:val="single"/>
          <w:lang w:val="en-US" w:eastAsia="zh-CN"/>
          <w14:textFill>
            <w14:solidFill>
              <w14:schemeClr w14:val="tx1"/>
            </w14:solidFill>
          </w14:textFill>
        </w:rPr>
        <w:t>1304.76</w:t>
      </w:r>
      <w:r>
        <w:rPr>
          <w:rFonts w:hint="eastAsia" w:ascii="仿宋" w:hAnsi="仿宋" w:eastAsia="仿宋" w:cs="仿宋"/>
          <w:b w:val="0"/>
          <w:bCs/>
          <w:snapToGrid w:val="0"/>
          <w:color w:val="000000" w:themeColor="text1"/>
          <w:spacing w:val="6"/>
          <w:kern w:val="0"/>
          <w:sz w:val="24"/>
          <w:szCs w:val="24"/>
          <w14:textFill>
            <w14:solidFill>
              <w14:schemeClr w14:val="tx1"/>
            </w14:solidFill>
          </w14:textFill>
        </w:rPr>
        <w:t>tCO</w:t>
      </w:r>
      <w:r>
        <w:rPr>
          <w:rFonts w:hint="eastAsia" w:ascii="仿宋" w:hAnsi="仿宋" w:eastAsia="仿宋" w:cs="仿宋"/>
          <w:b w:val="0"/>
          <w:bCs/>
          <w:snapToGrid w:val="0"/>
          <w:color w:val="000000" w:themeColor="text1"/>
          <w:spacing w:val="6"/>
          <w:kern w:val="0"/>
          <w:sz w:val="24"/>
          <w:szCs w:val="24"/>
          <w:vertAlign w:val="subscript"/>
          <w14:textFill>
            <w14:solidFill>
              <w14:schemeClr w14:val="tx1"/>
            </w14:solidFill>
          </w14:textFill>
        </w:rPr>
        <w:t>2</w:t>
      </w:r>
      <w:r>
        <w:rPr>
          <w:rFonts w:hint="eastAsia" w:ascii="仿宋" w:hAnsi="仿宋" w:eastAsia="仿宋" w:cs="仿宋"/>
          <w:b w:val="0"/>
          <w:bCs/>
          <w:snapToGrid w:val="0"/>
          <w:color w:val="000000" w:themeColor="text1"/>
          <w:spacing w:val="6"/>
          <w:kern w:val="0"/>
          <w:sz w:val="24"/>
          <w:szCs w:val="24"/>
          <w14:textFill>
            <w14:solidFill>
              <w14:schemeClr w14:val="tx1"/>
            </w14:solidFill>
          </w14:textFill>
        </w:rPr>
        <w:t>e，人均碳排放为</w:t>
      </w:r>
      <w:r>
        <w:rPr>
          <w:rFonts w:hint="eastAsia" w:ascii="仿宋" w:hAnsi="仿宋" w:eastAsia="仿宋" w:cs="仿宋"/>
          <w:b w:val="0"/>
          <w:bCs/>
          <w:color w:val="000000" w:themeColor="text1"/>
          <w:spacing w:val="6"/>
          <w:sz w:val="24"/>
          <w:u w:val="single"/>
          <w:lang w:val="en-US" w:eastAsia="zh-CN"/>
          <w14:textFill>
            <w14:solidFill>
              <w14:schemeClr w14:val="tx1"/>
            </w14:solidFill>
          </w14:textFill>
        </w:rPr>
        <w:t xml:space="preserve"> </w:t>
      </w:r>
      <w:r>
        <w:rPr>
          <w:rFonts w:ascii="仿宋" w:hAnsi="仿宋" w:eastAsia="仿宋" w:cs="仿宋"/>
          <w:color w:val="000000"/>
          <w:spacing w:val="6"/>
          <w:sz w:val="24"/>
          <w:u w:val="single" w:color="auto"/>
        </w:rPr>
        <w:t xml:space="preserve">1.51716 </w:t>
      </w:r>
      <w:r>
        <w:rPr>
          <w:rFonts w:hint="eastAsia" w:ascii="仿宋" w:hAnsi="仿宋" w:eastAsia="仿宋" w:cs="仿宋"/>
          <w:b w:val="0"/>
          <w:bCs/>
          <w:snapToGrid w:val="0"/>
          <w:color w:val="000000" w:themeColor="text1"/>
          <w:spacing w:val="6"/>
          <w:kern w:val="0"/>
          <w:sz w:val="24"/>
          <w:szCs w:val="24"/>
          <w14:textFill>
            <w14:solidFill>
              <w14:schemeClr w14:val="tx1"/>
            </w14:solidFill>
          </w14:textFill>
        </w:rPr>
        <w:t>tCO</w:t>
      </w:r>
      <w:r>
        <w:rPr>
          <w:rFonts w:hint="eastAsia" w:ascii="仿宋" w:hAnsi="仿宋" w:eastAsia="仿宋" w:cs="仿宋"/>
          <w:b w:val="0"/>
          <w:bCs/>
          <w:snapToGrid w:val="0"/>
          <w:color w:val="000000" w:themeColor="text1"/>
          <w:spacing w:val="6"/>
          <w:kern w:val="0"/>
          <w:sz w:val="24"/>
          <w:szCs w:val="24"/>
          <w:vertAlign w:val="subscript"/>
          <w14:textFill>
            <w14:solidFill>
              <w14:schemeClr w14:val="tx1"/>
            </w14:solidFill>
          </w14:textFill>
        </w:rPr>
        <w:t>2</w:t>
      </w:r>
      <w:r>
        <w:rPr>
          <w:rFonts w:hint="eastAsia" w:ascii="仿宋" w:hAnsi="仿宋" w:eastAsia="仿宋" w:cs="仿宋"/>
          <w:b w:val="0"/>
          <w:bCs/>
          <w:snapToGrid w:val="0"/>
          <w:color w:val="000000" w:themeColor="text1"/>
          <w:spacing w:val="6"/>
          <w:kern w:val="0"/>
          <w:sz w:val="24"/>
          <w:szCs w:val="24"/>
          <w14:textFill>
            <w14:solidFill>
              <w14:schemeClr w14:val="tx1"/>
            </w14:solidFill>
          </w14:textFill>
        </w:rPr>
        <w:t>e/人，单位面积碳排放为</w:t>
      </w:r>
      <w:r>
        <w:rPr>
          <w:rFonts w:hint="eastAsia" w:ascii="仿宋" w:hAnsi="仿宋" w:eastAsia="仿宋" w:cs="仿宋"/>
          <w:b w:val="0"/>
          <w:bCs/>
          <w:snapToGrid w:val="0"/>
          <w:color w:val="000000" w:themeColor="text1"/>
          <w:spacing w:val="6"/>
          <w:kern w:val="0"/>
          <w:sz w:val="24"/>
          <w:szCs w:val="24"/>
          <w:u w:val="single"/>
          <w:lang w:val="en-US" w:eastAsia="zh-CN"/>
          <w14:textFill>
            <w14:solidFill>
              <w14:schemeClr w14:val="tx1"/>
            </w14:solidFill>
          </w14:textFill>
        </w:rPr>
        <w:t>0.01483</w:t>
      </w:r>
      <w:r>
        <w:rPr>
          <w:rFonts w:hint="eastAsia" w:ascii="仿宋" w:hAnsi="仿宋" w:eastAsia="仿宋" w:cs="仿宋"/>
          <w:b w:val="0"/>
          <w:bCs/>
          <w:snapToGrid w:val="0"/>
          <w:color w:val="000000" w:themeColor="text1"/>
          <w:spacing w:val="6"/>
          <w:kern w:val="0"/>
          <w:sz w:val="24"/>
          <w:szCs w:val="24"/>
          <w14:textFill>
            <w14:solidFill>
              <w14:schemeClr w14:val="tx1"/>
            </w14:solidFill>
          </w14:textFill>
        </w:rPr>
        <w:t>tCO</w:t>
      </w:r>
      <w:r>
        <w:rPr>
          <w:rFonts w:hint="eastAsia" w:ascii="仿宋" w:hAnsi="仿宋" w:eastAsia="仿宋" w:cs="仿宋"/>
          <w:b w:val="0"/>
          <w:bCs/>
          <w:snapToGrid w:val="0"/>
          <w:color w:val="000000" w:themeColor="text1"/>
          <w:spacing w:val="6"/>
          <w:kern w:val="0"/>
          <w:sz w:val="24"/>
          <w:szCs w:val="24"/>
          <w:vertAlign w:val="subscript"/>
          <w14:textFill>
            <w14:solidFill>
              <w14:schemeClr w14:val="tx1"/>
            </w14:solidFill>
          </w14:textFill>
        </w:rPr>
        <w:t>2</w:t>
      </w:r>
      <w:r>
        <w:rPr>
          <w:rFonts w:hint="eastAsia" w:ascii="仿宋" w:hAnsi="仿宋" w:eastAsia="仿宋" w:cs="仿宋"/>
          <w:b w:val="0"/>
          <w:bCs/>
          <w:snapToGrid w:val="0"/>
          <w:color w:val="000000" w:themeColor="text1"/>
          <w:spacing w:val="6"/>
          <w:kern w:val="0"/>
          <w:sz w:val="24"/>
          <w:szCs w:val="24"/>
          <w14:textFill>
            <w14:solidFill>
              <w14:schemeClr w14:val="tx1"/>
            </w14:solidFill>
          </w14:textFill>
        </w:rPr>
        <w:t>e/平方米。</w:t>
      </w:r>
    </w:p>
    <w:p>
      <w:pPr>
        <w:pStyle w:val="2"/>
        <w:ind w:left="0" w:leftChars="0" w:firstLine="0" w:firstLineChars="0"/>
        <w:rPr>
          <w:rFonts w:hint="eastAsia"/>
          <w:b w:val="0"/>
          <w:bCs/>
        </w:rPr>
        <w:sectPr>
          <w:headerReference r:id="rId12" w:type="first"/>
          <w:footerReference r:id="rId15" w:type="first"/>
          <w:headerReference r:id="rId11" w:type="default"/>
          <w:footerReference r:id="rId13" w:type="default"/>
          <w:footerReference r:id="rId14" w:type="even"/>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720" w:num="1"/>
          <w:titlePg/>
          <w:docGrid w:type="lines" w:linePitch="435" w:charSpace="0"/>
        </w:sectPr>
      </w:pPr>
    </w:p>
    <w:p>
      <w:pPr>
        <w:pageBreakBefore w:val="0"/>
        <w:widowControl/>
        <w:kinsoku w:val="0"/>
        <w:wordWrap/>
        <w:topLinePunct w:val="0"/>
        <w:autoSpaceDE w:val="0"/>
        <w:autoSpaceDN w:val="0"/>
        <w:bidi w:val="0"/>
        <w:adjustRightInd w:val="0"/>
        <w:snapToGrid w:val="0"/>
        <w:spacing w:before="149" w:beforeLines="50" w:line="240" w:lineRule="auto"/>
        <w:ind w:left="0" w:leftChars="0" w:firstLine="0" w:firstLineChars="0"/>
        <w:jc w:val="center"/>
        <w:textAlignment w:val="baseline"/>
        <w:rPr>
          <w:rFonts w:hint="eastAsia" w:ascii="仿宋" w:hAnsi="仿宋" w:eastAsia="仿宋" w:cs="仿宋"/>
          <w:b w:val="0"/>
          <w:bCs/>
          <w:snapToGrid w:val="0"/>
          <w:color w:val="000000" w:themeColor="text1"/>
          <w:spacing w:val="6"/>
          <w:kern w:val="0"/>
          <w:sz w:val="24"/>
          <w:szCs w:val="24"/>
          <w:lang w:val="en-US" w:eastAsia="zh-CN"/>
          <w14:textFill>
            <w14:solidFill>
              <w14:schemeClr w14:val="tx1"/>
            </w14:solidFill>
          </w14:textFill>
        </w:rPr>
      </w:pPr>
    </w:p>
    <w:p>
      <w:pPr>
        <w:widowControl/>
        <w:spacing w:line="240" w:lineRule="auto"/>
        <w:ind w:firstLine="0" w:firstLineChars="0"/>
        <w:jc w:val="center"/>
        <w:rPr>
          <w:rFonts w:hint="eastAsia" w:ascii="宋体" w:hAnsi="宋体" w:eastAsia="宋体" w:cs="宋体"/>
          <w:b w:val="0"/>
          <w:bCs/>
          <w:color w:val="0070C0"/>
          <w:kern w:val="0"/>
          <w:sz w:val="18"/>
          <w:szCs w:val="18"/>
          <w:lang w:val="en-US" w:eastAsia="zh-CN"/>
        </w:rPr>
      </w:pPr>
      <w:r>
        <w:rPr>
          <w:rFonts w:hint="eastAsia" w:ascii="宋体" w:hAnsi="宋体" w:eastAsia="宋体" w:cs="宋体"/>
          <w:b w:val="0"/>
          <w:bCs/>
          <w:color w:val="0070C0"/>
          <w:kern w:val="0"/>
          <w:sz w:val="18"/>
          <w:szCs w:val="18"/>
          <w:lang w:val="en-US" w:eastAsia="zh-CN"/>
        </w:rPr>
        <w:t>6-2经营活动碳排放（范围一+范围二）</w:t>
      </w:r>
    </w:p>
    <w:tbl>
      <w:tblPr>
        <w:tblStyle w:val="21"/>
        <w:tblW w:w="14938" w:type="dxa"/>
        <w:tblInd w:w="0" w:type="dxa"/>
        <w:tblLayout w:type="fixed"/>
        <w:tblCellMar>
          <w:top w:w="0" w:type="dxa"/>
          <w:left w:w="108" w:type="dxa"/>
          <w:bottom w:w="0" w:type="dxa"/>
          <w:right w:w="108" w:type="dxa"/>
        </w:tblCellMar>
      </w:tblPr>
      <w:tblGrid>
        <w:gridCol w:w="1824"/>
        <w:gridCol w:w="1370"/>
        <w:gridCol w:w="834"/>
        <w:gridCol w:w="1062"/>
        <w:gridCol w:w="1154"/>
        <w:gridCol w:w="895"/>
        <w:gridCol w:w="1278"/>
        <w:gridCol w:w="1053"/>
        <w:gridCol w:w="1140"/>
        <w:gridCol w:w="1000"/>
        <w:gridCol w:w="967"/>
        <w:gridCol w:w="1150"/>
        <w:gridCol w:w="1211"/>
      </w:tblGrid>
      <w:tr>
        <w:tblPrEx>
          <w:tblCellMar>
            <w:top w:w="0" w:type="dxa"/>
            <w:left w:w="108" w:type="dxa"/>
            <w:bottom w:w="0" w:type="dxa"/>
            <w:right w:w="108" w:type="dxa"/>
          </w:tblCellMar>
        </w:tblPrEx>
        <w:trPr>
          <w:cantSplit/>
          <w:trHeight w:val="367" w:hRule="atLeast"/>
          <w:tblHeader/>
        </w:trPr>
        <w:tc>
          <w:tcPr>
            <w:tcW w:w="1824" w:type="dxa"/>
            <w:vMerge w:val="restart"/>
            <w:tcBorders>
              <w:top w:val="single" w:color="000000" w:sz="4" w:space="0"/>
              <w:left w:val="single" w:color="000000" w:sz="4" w:space="0"/>
              <w:bottom w:val="single" w:color="000000" w:sz="4" w:space="0"/>
              <w:right w:val="single" w:color="000000" w:sz="4" w:space="0"/>
            </w:tcBorders>
            <w:noWrap w:val="0"/>
            <w:vAlign w:val="center"/>
          </w:tcPr>
          <w:p>
            <w:r>
              <w:rPr>
                <w:rFonts w:ascii="宋体" w:hAnsi="宋体" w:eastAsia="宋体" w:cs="宋体"/>
                <w:b/>
                <w:sz w:val="18"/>
              </w:rPr>
              <w:t>核算要素</w:t>
            </w:r>
          </w:p>
        </w:tc>
        <w:tc>
          <w:tcPr>
            <w:tcW w:w="1370"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firstLine="0" w:firstLineChars="0"/>
              <w:jc w:val="center"/>
              <w:rPr>
                <w:rFonts w:hint="eastAsia" w:ascii="宋体" w:hAnsi="宋体" w:eastAsia="宋体" w:cs="宋体"/>
                <w:b/>
                <w:bCs w:val="0"/>
                <w:color w:val="000000" w:themeColor="text1"/>
                <w:kern w:val="0"/>
                <w:sz w:val="18"/>
                <w:szCs w:val="18"/>
                <w14:textFill>
                  <w14:solidFill>
                    <w14:schemeClr w14:val="tx1"/>
                  </w14:solidFill>
                </w14:textFill>
              </w:rPr>
            </w:pPr>
            <w:r>
              <w:rPr>
                <w:rFonts w:hint="eastAsia" w:ascii="宋体" w:hAnsi="宋体" w:eastAsia="宋体" w:cs="宋体"/>
                <w:b/>
                <w:bCs w:val="0"/>
                <w:color w:val="000000" w:themeColor="text1"/>
                <w:kern w:val="0"/>
                <w:sz w:val="18"/>
                <w:szCs w:val="18"/>
                <w14:textFill>
                  <w14:solidFill>
                    <w14:schemeClr w14:val="tx1"/>
                  </w14:solidFill>
                </w14:textFill>
              </w:rPr>
              <w:t>核算细项</w:t>
            </w:r>
          </w:p>
        </w:tc>
        <w:tc>
          <w:tcPr>
            <w:tcW w:w="834"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firstLine="0" w:firstLineChars="0"/>
              <w:jc w:val="center"/>
              <w:rPr>
                <w:rFonts w:hint="eastAsia" w:ascii="宋体" w:hAnsi="宋体" w:eastAsia="宋体" w:cs="宋体"/>
                <w:b/>
                <w:bCs w:val="0"/>
                <w:color w:val="000000" w:themeColor="text1"/>
                <w:kern w:val="0"/>
                <w:sz w:val="18"/>
                <w:szCs w:val="18"/>
                <w14:textFill>
                  <w14:solidFill>
                    <w14:schemeClr w14:val="tx1"/>
                  </w14:solidFill>
                </w14:textFill>
              </w:rPr>
            </w:pPr>
            <w:r>
              <w:rPr>
                <w:rFonts w:hint="eastAsia" w:ascii="宋体" w:hAnsi="宋体" w:eastAsia="宋体" w:cs="宋体"/>
                <w:b/>
                <w:bCs w:val="0"/>
                <w:color w:val="000000" w:themeColor="text1"/>
                <w:kern w:val="0"/>
                <w:sz w:val="18"/>
                <w:szCs w:val="18"/>
                <w14:textFill>
                  <w14:solidFill>
                    <w14:schemeClr w14:val="tx1"/>
                  </w14:solidFill>
                </w14:textFill>
              </w:rPr>
              <w:t>数量对应单位</w:t>
            </w:r>
          </w:p>
        </w:tc>
        <w:tc>
          <w:tcPr>
            <w:tcW w:w="5442" w:type="dxa"/>
            <w:gridSpan w:val="5"/>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bCs w:val="0"/>
                <w:color w:val="000000" w:themeColor="text1"/>
                <w:kern w:val="0"/>
                <w:sz w:val="18"/>
                <w:szCs w:val="18"/>
                <w14:textFill>
                  <w14:solidFill>
                    <w14:schemeClr w14:val="tx1"/>
                  </w14:solidFill>
                </w14:textFill>
              </w:rPr>
            </w:pPr>
            <w:r>
              <w:rPr>
                <w:rFonts w:hint="eastAsia" w:ascii="宋体" w:hAnsi="宋体" w:eastAsia="宋体" w:cs="宋体"/>
                <w:b/>
                <w:bCs w:val="0"/>
                <w:color w:val="000000"/>
                <w:kern w:val="0"/>
                <w:sz w:val="18"/>
                <w:szCs w:val="18"/>
                <w:lang w:val="en-US" w:eastAsia="zh-CN"/>
              </w:rPr>
              <w:t>2025</w:t>
            </w:r>
            <w:r>
              <w:rPr>
                <w:rFonts w:hint="eastAsia" w:ascii="宋体" w:hAnsi="宋体" w:eastAsia="宋体" w:cs="宋体"/>
                <w:b/>
                <w:bCs w:val="0"/>
                <w:color w:val="000000" w:themeColor="text1"/>
                <w:kern w:val="0"/>
                <w:sz w:val="18"/>
                <w:szCs w:val="18"/>
                <w14:textFill>
                  <w14:solidFill>
                    <w14:schemeClr w14:val="tx1"/>
                  </w14:solidFill>
                </w14:textFill>
              </w:rPr>
              <w:t>年</w:t>
            </w:r>
          </w:p>
        </w:tc>
        <w:tc>
          <w:tcPr>
            <w:tcW w:w="5468" w:type="dxa"/>
            <w:gridSpan w:val="5"/>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bCs w:val="0"/>
                <w:color w:val="000000" w:themeColor="text1"/>
                <w:kern w:val="0"/>
                <w:sz w:val="18"/>
                <w:szCs w:val="18"/>
                <w14:textFill>
                  <w14:solidFill>
                    <w14:schemeClr w14:val="tx1"/>
                  </w14:solidFill>
                </w14:textFill>
              </w:rPr>
            </w:pPr>
            <w:r>
              <w:rPr>
                <w:rFonts w:hint="eastAsia" w:ascii="宋体" w:hAnsi="宋体" w:eastAsia="宋体" w:cs="宋体"/>
                <w:b/>
                <w:bCs w:val="0"/>
                <w:color w:val="000000"/>
                <w:kern w:val="0"/>
                <w:sz w:val="18"/>
                <w:szCs w:val="18"/>
                <w:lang w:val="en-US" w:eastAsia="zh-CN"/>
              </w:rPr>
              <w:t>2024</w:t>
            </w:r>
            <w:r>
              <w:rPr>
                <w:rFonts w:hint="eastAsia" w:ascii="宋体" w:hAnsi="宋体" w:eastAsia="宋体" w:cs="宋体"/>
                <w:b/>
                <w:bCs w:val="0"/>
                <w:color w:val="000000" w:themeColor="text1"/>
                <w:kern w:val="0"/>
                <w:sz w:val="18"/>
                <w:szCs w:val="18"/>
                <w14:textFill>
                  <w14:solidFill>
                    <w14:schemeClr w14:val="tx1"/>
                  </w14:solidFill>
                </w14:textFill>
              </w:rPr>
              <w:t>年</w:t>
            </w:r>
          </w:p>
        </w:tc>
      </w:tr>
      <w:tr>
        <w:tblPrEx>
          <w:tblCellMar>
            <w:top w:w="0" w:type="dxa"/>
            <w:left w:w="108" w:type="dxa"/>
            <w:bottom w:w="0" w:type="dxa"/>
            <w:right w:w="108" w:type="dxa"/>
          </w:tblCellMar>
        </w:tblPrEx>
        <w:trPr>
          <w:cantSplit/>
          <w:trHeight w:val="725" w:hRule="atLeast"/>
          <w:tblHeader/>
        </w:trPr>
        <w:tc>
          <w:tcPr>
            <w:tcW w:w="1824"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firstLine="0" w:firstLineChars="0"/>
              <w:jc w:val="left"/>
              <w:rPr>
                <w:rFonts w:hint="eastAsia" w:ascii="宋体" w:hAnsi="宋体" w:eastAsia="宋体" w:cs="宋体"/>
                <w:b/>
                <w:bCs w:val="0"/>
                <w:color w:val="000000" w:themeColor="text1"/>
                <w:kern w:val="0"/>
                <w:sz w:val="18"/>
                <w:szCs w:val="18"/>
                <w14:textFill>
                  <w14:solidFill>
                    <w14:schemeClr w14:val="tx1"/>
                  </w14:solidFill>
                </w14:textFill>
              </w:rPr>
            </w:pPr>
          </w:p>
        </w:tc>
        <w:tc>
          <w:tcPr>
            <w:tcW w:w="137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firstLine="0" w:firstLineChars="0"/>
              <w:jc w:val="left"/>
              <w:rPr>
                <w:rFonts w:hint="eastAsia" w:ascii="宋体" w:hAnsi="宋体" w:eastAsia="宋体" w:cs="宋体"/>
                <w:b/>
                <w:bCs w:val="0"/>
                <w:color w:val="000000" w:themeColor="text1"/>
                <w:kern w:val="0"/>
                <w:sz w:val="18"/>
                <w:szCs w:val="18"/>
                <w14:textFill>
                  <w14:solidFill>
                    <w14:schemeClr w14:val="tx1"/>
                  </w14:solidFill>
                </w14:textFill>
              </w:rPr>
            </w:pPr>
          </w:p>
        </w:tc>
        <w:tc>
          <w:tcPr>
            <w:tcW w:w="834"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firstLine="0" w:firstLineChars="0"/>
              <w:jc w:val="left"/>
              <w:rPr>
                <w:rFonts w:hint="eastAsia" w:ascii="宋体" w:hAnsi="宋体" w:eastAsia="宋体" w:cs="宋体"/>
                <w:b/>
                <w:bCs w:val="0"/>
                <w:color w:val="000000" w:themeColor="text1"/>
                <w:kern w:val="0"/>
                <w:sz w:val="18"/>
                <w:szCs w:val="18"/>
                <w14:textFill>
                  <w14:solidFill>
                    <w14:schemeClr w14:val="tx1"/>
                  </w14:solidFill>
                </w14:textFill>
              </w:rPr>
            </w:pPr>
          </w:p>
        </w:tc>
        <w:tc>
          <w:tcPr>
            <w:tcW w:w="106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firstLine="0" w:firstLineChars="0"/>
              <w:jc w:val="center"/>
              <w:rPr>
                <w:rFonts w:hint="eastAsia" w:ascii="宋体" w:hAnsi="宋体" w:eastAsia="宋体" w:cs="宋体"/>
                <w:b/>
                <w:bCs w:val="0"/>
                <w:color w:val="000000" w:themeColor="text1"/>
                <w:kern w:val="0"/>
                <w:sz w:val="18"/>
                <w:szCs w:val="18"/>
                <w14:textFill>
                  <w14:solidFill>
                    <w14:schemeClr w14:val="tx1"/>
                  </w14:solidFill>
                </w14:textFill>
              </w:rPr>
            </w:pPr>
            <w:r>
              <w:rPr>
                <w:rFonts w:hint="eastAsia" w:ascii="宋体" w:hAnsi="宋体" w:eastAsia="宋体" w:cs="宋体"/>
                <w:b/>
                <w:bCs w:val="0"/>
                <w:color w:val="000000" w:themeColor="text1"/>
                <w:kern w:val="0"/>
                <w:sz w:val="18"/>
                <w:szCs w:val="18"/>
                <w14:textFill>
                  <w14:solidFill>
                    <w14:schemeClr w14:val="tx1"/>
                  </w14:solidFill>
                </w14:textFill>
              </w:rPr>
              <w:t>数量</w:t>
            </w:r>
          </w:p>
        </w:tc>
        <w:tc>
          <w:tcPr>
            <w:tcW w:w="115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firstLine="0" w:firstLineChars="0"/>
              <w:jc w:val="center"/>
              <w:rPr>
                <w:rFonts w:hint="eastAsia" w:ascii="宋体" w:hAnsi="宋体" w:eastAsia="宋体" w:cs="宋体"/>
                <w:b/>
                <w:bCs w:val="0"/>
                <w:color w:val="000000" w:themeColor="text1"/>
                <w:kern w:val="0"/>
                <w:sz w:val="18"/>
                <w:szCs w:val="18"/>
                <w14:textFill>
                  <w14:solidFill>
                    <w14:schemeClr w14:val="tx1"/>
                  </w14:solidFill>
                </w14:textFill>
              </w:rPr>
            </w:pPr>
            <w:r>
              <w:rPr>
                <w:rFonts w:hint="eastAsia" w:ascii="宋体" w:hAnsi="宋体" w:eastAsia="宋体" w:cs="宋体"/>
                <w:b/>
                <w:bCs w:val="0"/>
                <w:color w:val="000000" w:themeColor="text1"/>
                <w:kern w:val="0"/>
                <w:sz w:val="18"/>
                <w:szCs w:val="18"/>
                <w14:textFill>
                  <w14:solidFill>
                    <w14:schemeClr w14:val="tx1"/>
                  </w14:solidFill>
                </w14:textFill>
              </w:rPr>
              <w:t>人均数量</w:t>
            </w:r>
            <w:r>
              <w:rPr>
                <w:rFonts w:hint="eastAsia" w:ascii="宋体" w:hAnsi="宋体" w:eastAsia="宋体" w:cs="宋体"/>
                <w:b/>
                <w:bCs w:val="0"/>
                <w:color w:val="000000" w:themeColor="text1"/>
                <w:kern w:val="0"/>
                <w:sz w:val="18"/>
                <w:szCs w:val="18"/>
                <w:vertAlign w:val="superscript"/>
                <w14:textFill>
                  <w14:solidFill>
                    <w14:schemeClr w14:val="tx1"/>
                  </w14:solidFill>
                </w14:textFill>
              </w:rPr>
              <w:t>*</w:t>
            </w:r>
          </w:p>
        </w:tc>
        <w:tc>
          <w:tcPr>
            <w:tcW w:w="89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firstLine="0" w:firstLineChars="0"/>
              <w:jc w:val="center"/>
              <w:rPr>
                <w:rFonts w:hint="eastAsia" w:ascii="宋体" w:hAnsi="宋体" w:eastAsia="宋体" w:cs="宋体"/>
                <w:b/>
                <w:bCs w:val="0"/>
                <w:color w:val="000000" w:themeColor="text1"/>
                <w:kern w:val="0"/>
                <w:sz w:val="18"/>
                <w:szCs w:val="18"/>
                <w14:textFill>
                  <w14:solidFill>
                    <w14:schemeClr w14:val="tx1"/>
                  </w14:solidFill>
                </w14:textFill>
              </w:rPr>
            </w:pPr>
            <w:r>
              <w:rPr>
                <w:rFonts w:hint="eastAsia" w:ascii="宋体" w:hAnsi="宋体" w:eastAsia="宋体" w:cs="宋体"/>
                <w:b/>
                <w:bCs w:val="0"/>
                <w:color w:val="000000" w:themeColor="text1"/>
                <w:kern w:val="0"/>
                <w:sz w:val="18"/>
                <w:szCs w:val="18"/>
                <w14:textFill>
                  <w14:solidFill>
                    <w14:schemeClr w14:val="tx1"/>
                  </w14:solidFill>
                </w14:textFill>
              </w:rPr>
              <w:t>碳排放（</w:t>
            </w:r>
            <w:r>
              <w:rPr>
                <w:rFonts w:hint="default" w:ascii="宋体" w:hAnsi="宋体" w:eastAsia="宋体" w:cs="宋体"/>
                <w:b/>
                <w:bCs w:val="0"/>
                <w:color w:val="000000" w:themeColor="text1"/>
                <w:kern w:val="0"/>
                <w:sz w:val="18"/>
                <w:szCs w:val="18"/>
                <w:lang w:val="en-US"/>
                <w14:textFill>
                  <w14:solidFill>
                    <w14:schemeClr w14:val="tx1"/>
                  </w14:solidFill>
                </w14:textFill>
              </w:rPr>
              <w:t>tCO2e</w:t>
            </w:r>
            <w:r>
              <w:rPr>
                <w:rFonts w:hint="eastAsia" w:ascii="宋体" w:hAnsi="宋体" w:eastAsia="宋体" w:cs="宋体"/>
                <w:b/>
                <w:bCs w:val="0"/>
                <w:color w:val="000000" w:themeColor="text1"/>
                <w:kern w:val="0"/>
                <w:sz w:val="18"/>
                <w:szCs w:val="18"/>
                <w14:textFill>
                  <w14:solidFill>
                    <w14:schemeClr w14:val="tx1"/>
                  </w14:solidFill>
                </w14:textFill>
              </w:rPr>
              <w:t>）</w:t>
            </w:r>
          </w:p>
        </w:tc>
        <w:tc>
          <w:tcPr>
            <w:tcW w:w="127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firstLine="0" w:firstLineChars="0"/>
              <w:jc w:val="center"/>
              <w:rPr>
                <w:rFonts w:hint="eastAsia" w:ascii="宋体" w:hAnsi="宋体" w:eastAsia="宋体" w:cs="宋体"/>
                <w:b/>
                <w:bCs w:val="0"/>
                <w:color w:val="000000" w:themeColor="text1"/>
                <w:kern w:val="0"/>
                <w:sz w:val="18"/>
                <w:szCs w:val="18"/>
                <w14:textFill>
                  <w14:solidFill>
                    <w14:schemeClr w14:val="tx1"/>
                  </w14:solidFill>
                </w14:textFill>
              </w:rPr>
            </w:pPr>
            <w:r>
              <w:rPr>
                <w:rFonts w:hint="eastAsia" w:ascii="宋体" w:hAnsi="宋体" w:eastAsia="宋体" w:cs="宋体"/>
                <w:b/>
                <w:bCs w:val="0"/>
                <w:color w:val="000000" w:themeColor="text1"/>
                <w:kern w:val="0"/>
                <w:sz w:val="18"/>
                <w:szCs w:val="18"/>
                <w14:textFill>
                  <w14:solidFill>
                    <w14:schemeClr w14:val="tx1"/>
                  </w14:solidFill>
                </w14:textFill>
              </w:rPr>
              <w:t>人均碳排放（</w:t>
            </w:r>
            <w:r>
              <w:rPr>
                <w:rFonts w:hint="default" w:ascii="宋体" w:hAnsi="宋体" w:eastAsia="宋体" w:cs="宋体"/>
                <w:b/>
                <w:bCs w:val="0"/>
                <w:color w:val="000000" w:themeColor="text1"/>
                <w:kern w:val="0"/>
                <w:sz w:val="18"/>
                <w:szCs w:val="18"/>
                <w:lang w:val="en-US"/>
                <w14:textFill>
                  <w14:solidFill>
                    <w14:schemeClr w14:val="tx1"/>
                  </w14:solidFill>
                </w14:textFill>
              </w:rPr>
              <w:t>tCO2e</w:t>
            </w:r>
            <w:r>
              <w:rPr>
                <w:rFonts w:hint="eastAsia" w:ascii="宋体" w:hAnsi="宋体" w:eastAsia="宋体" w:cs="宋体"/>
                <w:b/>
                <w:bCs w:val="0"/>
                <w:color w:val="000000" w:themeColor="text1"/>
                <w:kern w:val="0"/>
                <w:sz w:val="18"/>
                <w:szCs w:val="18"/>
                <w14:textFill>
                  <w14:solidFill>
                    <w14:schemeClr w14:val="tx1"/>
                  </w14:solidFill>
                </w14:textFill>
              </w:rPr>
              <w:t>/人）</w:t>
            </w:r>
          </w:p>
        </w:tc>
        <w:tc>
          <w:tcPr>
            <w:tcW w:w="105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firstLine="0" w:firstLineChars="0"/>
              <w:jc w:val="center"/>
              <w:rPr>
                <w:rFonts w:hint="eastAsia" w:ascii="宋体" w:hAnsi="宋体" w:eastAsia="宋体" w:cs="宋体"/>
                <w:b/>
                <w:bCs w:val="0"/>
                <w:color w:val="000000" w:themeColor="text1"/>
                <w:kern w:val="0"/>
                <w:sz w:val="18"/>
                <w:szCs w:val="18"/>
                <w14:textFill>
                  <w14:solidFill>
                    <w14:schemeClr w14:val="tx1"/>
                  </w14:solidFill>
                </w14:textFill>
              </w:rPr>
            </w:pPr>
            <w:r>
              <w:rPr>
                <w:rFonts w:hint="eastAsia" w:ascii="宋体" w:hAnsi="宋体" w:eastAsia="宋体" w:cs="宋体"/>
                <w:b/>
                <w:bCs w:val="0"/>
                <w:color w:val="000000" w:themeColor="text1"/>
                <w:kern w:val="0"/>
                <w:sz w:val="18"/>
                <w:szCs w:val="18"/>
                <w14:textFill>
                  <w14:solidFill>
                    <w14:schemeClr w14:val="tx1"/>
                  </w14:solidFill>
                </w14:textFill>
              </w:rPr>
              <w:t>单位面积碳排放（</w:t>
            </w:r>
            <w:r>
              <w:rPr>
                <w:rFonts w:hint="default" w:ascii="宋体" w:hAnsi="宋体" w:eastAsia="宋体" w:cs="宋体"/>
                <w:b/>
                <w:bCs w:val="0"/>
                <w:color w:val="000000" w:themeColor="text1"/>
                <w:kern w:val="0"/>
                <w:sz w:val="18"/>
                <w:szCs w:val="18"/>
                <w:lang w:val="en-US"/>
                <w14:textFill>
                  <w14:solidFill>
                    <w14:schemeClr w14:val="tx1"/>
                  </w14:solidFill>
                </w14:textFill>
              </w:rPr>
              <w:t>tCO2e</w:t>
            </w:r>
            <w:r>
              <w:rPr>
                <w:rFonts w:hint="eastAsia" w:ascii="宋体" w:hAnsi="宋体" w:eastAsia="宋体" w:cs="宋体"/>
                <w:b/>
                <w:bCs w:val="0"/>
                <w:color w:val="000000" w:themeColor="text1"/>
                <w:kern w:val="0"/>
                <w:sz w:val="18"/>
                <w:szCs w:val="18"/>
                <w14:textFill>
                  <w14:solidFill>
                    <w14:schemeClr w14:val="tx1"/>
                  </w14:solidFill>
                </w14:textFill>
              </w:rPr>
              <w:t>/平方米）</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firstLine="0" w:firstLineChars="0"/>
              <w:jc w:val="center"/>
              <w:rPr>
                <w:rFonts w:hint="eastAsia" w:ascii="宋体" w:hAnsi="宋体" w:eastAsia="宋体" w:cs="宋体"/>
                <w:b/>
                <w:bCs w:val="0"/>
                <w:color w:val="000000" w:themeColor="text1"/>
                <w:kern w:val="0"/>
                <w:sz w:val="18"/>
                <w:szCs w:val="18"/>
                <w14:textFill>
                  <w14:solidFill>
                    <w14:schemeClr w14:val="tx1"/>
                  </w14:solidFill>
                </w14:textFill>
              </w:rPr>
            </w:pPr>
            <w:r>
              <w:rPr>
                <w:rFonts w:hint="eastAsia" w:ascii="宋体" w:hAnsi="宋体" w:eastAsia="宋体" w:cs="宋体"/>
                <w:b/>
                <w:bCs w:val="0"/>
                <w:color w:val="000000" w:themeColor="text1"/>
                <w:kern w:val="0"/>
                <w:sz w:val="18"/>
                <w:szCs w:val="18"/>
                <w14:textFill>
                  <w14:solidFill>
                    <w14:schemeClr w14:val="tx1"/>
                  </w14:solidFill>
                </w14:textFill>
              </w:rPr>
              <w:t>数量</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firstLine="0" w:firstLineChars="0"/>
              <w:jc w:val="center"/>
              <w:rPr>
                <w:rFonts w:hint="eastAsia" w:ascii="宋体" w:hAnsi="宋体" w:eastAsia="宋体" w:cs="宋体"/>
                <w:b/>
                <w:bCs w:val="0"/>
                <w:color w:val="000000" w:themeColor="text1"/>
                <w:kern w:val="0"/>
                <w:sz w:val="18"/>
                <w:szCs w:val="18"/>
                <w14:textFill>
                  <w14:solidFill>
                    <w14:schemeClr w14:val="tx1"/>
                  </w14:solidFill>
                </w14:textFill>
              </w:rPr>
            </w:pPr>
            <w:r>
              <w:rPr>
                <w:rFonts w:hint="eastAsia" w:ascii="宋体" w:hAnsi="宋体" w:eastAsia="宋体" w:cs="宋体"/>
                <w:b/>
                <w:bCs w:val="0"/>
                <w:color w:val="000000" w:themeColor="text1"/>
                <w:kern w:val="0"/>
                <w:sz w:val="18"/>
                <w:szCs w:val="18"/>
                <w14:textFill>
                  <w14:solidFill>
                    <w14:schemeClr w14:val="tx1"/>
                  </w14:solidFill>
                </w14:textFill>
              </w:rPr>
              <w:t>人均数量</w:t>
            </w:r>
            <w:r>
              <w:rPr>
                <w:rFonts w:hint="eastAsia" w:ascii="宋体" w:hAnsi="宋体" w:eastAsia="宋体" w:cs="宋体"/>
                <w:b/>
                <w:bCs w:val="0"/>
                <w:color w:val="000000" w:themeColor="text1"/>
                <w:kern w:val="0"/>
                <w:sz w:val="18"/>
                <w:szCs w:val="18"/>
                <w:vertAlign w:val="superscript"/>
                <w14:textFill>
                  <w14:solidFill>
                    <w14:schemeClr w14:val="tx1"/>
                  </w14:solidFill>
                </w14:textFill>
              </w:rPr>
              <w:t>*</w:t>
            </w:r>
          </w:p>
        </w:tc>
        <w:tc>
          <w:tcPr>
            <w:tcW w:w="96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firstLine="0" w:firstLineChars="0"/>
              <w:jc w:val="center"/>
              <w:rPr>
                <w:rFonts w:hint="eastAsia" w:ascii="宋体" w:hAnsi="宋体" w:eastAsia="宋体" w:cs="宋体"/>
                <w:b/>
                <w:bCs w:val="0"/>
                <w:color w:val="000000" w:themeColor="text1"/>
                <w:kern w:val="0"/>
                <w:sz w:val="18"/>
                <w:szCs w:val="18"/>
                <w14:textFill>
                  <w14:solidFill>
                    <w14:schemeClr w14:val="tx1"/>
                  </w14:solidFill>
                </w14:textFill>
              </w:rPr>
            </w:pPr>
            <w:r>
              <w:rPr>
                <w:rFonts w:hint="eastAsia" w:ascii="宋体" w:hAnsi="宋体" w:eastAsia="宋体" w:cs="宋体"/>
                <w:b/>
                <w:bCs w:val="0"/>
                <w:color w:val="000000" w:themeColor="text1"/>
                <w:kern w:val="0"/>
                <w:sz w:val="18"/>
                <w:szCs w:val="18"/>
                <w14:textFill>
                  <w14:solidFill>
                    <w14:schemeClr w14:val="tx1"/>
                  </w14:solidFill>
                </w14:textFill>
              </w:rPr>
              <w:t>碳排放（</w:t>
            </w:r>
            <w:r>
              <w:rPr>
                <w:rFonts w:hint="default" w:ascii="宋体" w:hAnsi="宋体" w:eastAsia="宋体" w:cs="宋体"/>
                <w:b/>
                <w:bCs w:val="0"/>
                <w:color w:val="000000" w:themeColor="text1"/>
                <w:kern w:val="0"/>
                <w:sz w:val="18"/>
                <w:szCs w:val="18"/>
                <w:lang w:val="en-US"/>
                <w14:textFill>
                  <w14:solidFill>
                    <w14:schemeClr w14:val="tx1"/>
                  </w14:solidFill>
                </w14:textFill>
              </w:rPr>
              <w:t>tCO2e</w:t>
            </w:r>
            <w:r>
              <w:rPr>
                <w:rFonts w:hint="eastAsia" w:ascii="宋体" w:hAnsi="宋体" w:eastAsia="宋体" w:cs="宋体"/>
                <w:b/>
                <w:bCs w:val="0"/>
                <w:color w:val="000000" w:themeColor="text1"/>
                <w:kern w:val="0"/>
                <w:sz w:val="18"/>
                <w:szCs w:val="18"/>
                <w14:textFill>
                  <w14:solidFill>
                    <w14:schemeClr w14:val="tx1"/>
                  </w14:solidFill>
                </w14:textFill>
              </w:rPr>
              <w:t>）</w:t>
            </w:r>
          </w:p>
        </w:tc>
        <w:tc>
          <w:tcPr>
            <w:tcW w:w="115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firstLine="0" w:firstLineChars="0"/>
              <w:jc w:val="center"/>
              <w:rPr>
                <w:rFonts w:hint="eastAsia" w:ascii="宋体" w:hAnsi="宋体" w:eastAsia="宋体" w:cs="宋体"/>
                <w:b/>
                <w:bCs w:val="0"/>
                <w:color w:val="000000" w:themeColor="text1"/>
                <w:kern w:val="0"/>
                <w:sz w:val="18"/>
                <w:szCs w:val="18"/>
                <w14:textFill>
                  <w14:solidFill>
                    <w14:schemeClr w14:val="tx1"/>
                  </w14:solidFill>
                </w14:textFill>
              </w:rPr>
            </w:pPr>
            <w:r>
              <w:rPr>
                <w:rFonts w:hint="eastAsia" w:ascii="宋体" w:hAnsi="宋体" w:eastAsia="宋体" w:cs="宋体"/>
                <w:b/>
                <w:bCs w:val="0"/>
                <w:color w:val="000000" w:themeColor="text1"/>
                <w:kern w:val="0"/>
                <w:sz w:val="18"/>
                <w:szCs w:val="18"/>
                <w14:textFill>
                  <w14:solidFill>
                    <w14:schemeClr w14:val="tx1"/>
                  </w14:solidFill>
                </w14:textFill>
              </w:rPr>
              <w:t>人均碳排放（</w:t>
            </w:r>
            <w:r>
              <w:rPr>
                <w:rFonts w:hint="default" w:ascii="宋体" w:hAnsi="宋体" w:eastAsia="宋体" w:cs="宋体"/>
                <w:b/>
                <w:bCs w:val="0"/>
                <w:color w:val="000000" w:themeColor="text1"/>
                <w:kern w:val="0"/>
                <w:sz w:val="18"/>
                <w:szCs w:val="18"/>
                <w:lang w:val="en-US"/>
                <w14:textFill>
                  <w14:solidFill>
                    <w14:schemeClr w14:val="tx1"/>
                  </w14:solidFill>
                </w14:textFill>
              </w:rPr>
              <w:t>tCO2e</w:t>
            </w:r>
            <w:r>
              <w:rPr>
                <w:rFonts w:hint="eastAsia" w:ascii="宋体" w:hAnsi="宋体" w:eastAsia="宋体" w:cs="宋体"/>
                <w:b/>
                <w:bCs w:val="0"/>
                <w:color w:val="000000" w:themeColor="text1"/>
                <w:kern w:val="0"/>
                <w:sz w:val="18"/>
                <w:szCs w:val="18"/>
                <w14:textFill>
                  <w14:solidFill>
                    <w14:schemeClr w14:val="tx1"/>
                  </w14:solidFill>
                </w14:textFill>
              </w:rPr>
              <w:t>/人）</w:t>
            </w:r>
          </w:p>
        </w:tc>
        <w:tc>
          <w:tcPr>
            <w:tcW w:w="1211"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firstLine="0" w:firstLineChars="0"/>
              <w:jc w:val="center"/>
              <w:rPr>
                <w:rFonts w:hint="eastAsia" w:ascii="宋体" w:hAnsi="宋体" w:eastAsia="宋体" w:cs="宋体"/>
                <w:b/>
                <w:bCs w:val="0"/>
                <w:color w:val="000000" w:themeColor="text1"/>
                <w:kern w:val="0"/>
                <w:sz w:val="18"/>
                <w:szCs w:val="18"/>
                <w14:textFill>
                  <w14:solidFill>
                    <w14:schemeClr w14:val="tx1"/>
                  </w14:solidFill>
                </w14:textFill>
              </w:rPr>
            </w:pPr>
            <w:r>
              <w:rPr>
                <w:rFonts w:hint="eastAsia" w:ascii="宋体" w:hAnsi="宋体" w:eastAsia="宋体" w:cs="宋体"/>
                <w:b/>
                <w:bCs w:val="0"/>
                <w:color w:val="000000" w:themeColor="text1"/>
                <w:kern w:val="0"/>
                <w:sz w:val="18"/>
                <w:szCs w:val="18"/>
                <w14:textFill>
                  <w14:solidFill>
                    <w14:schemeClr w14:val="tx1"/>
                  </w14:solidFill>
                </w14:textFill>
              </w:rPr>
              <w:t>单位面积碳排放（</w:t>
            </w:r>
            <w:r>
              <w:rPr>
                <w:rFonts w:hint="default" w:ascii="宋体" w:hAnsi="宋体" w:eastAsia="宋体" w:cs="宋体"/>
                <w:b/>
                <w:bCs w:val="0"/>
                <w:color w:val="000000" w:themeColor="text1"/>
                <w:kern w:val="0"/>
                <w:sz w:val="18"/>
                <w:szCs w:val="18"/>
                <w:lang w:val="en-US"/>
                <w14:textFill>
                  <w14:solidFill>
                    <w14:schemeClr w14:val="tx1"/>
                  </w14:solidFill>
                </w14:textFill>
              </w:rPr>
              <w:t>tCO2e</w:t>
            </w:r>
            <w:r>
              <w:rPr>
                <w:rFonts w:hint="eastAsia" w:ascii="宋体" w:hAnsi="宋体" w:eastAsia="宋体" w:cs="宋体"/>
                <w:b/>
                <w:bCs w:val="0"/>
                <w:color w:val="000000" w:themeColor="text1"/>
                <w:kern w:val="0"/>
                <w:sz w:val="18"/>
                <w:szCs w:val="18"/>
                <w14:textFill>
                  <w14:solidFill>
                    <w14:schemeClr w14:val="tx1"/>
                  </w14:solidFill>
                </w14:textFill>
              </w:rPr>
              <w:t>/平方米）</w:t>
            </w:r>
          </w:p>
        </w:tc>
      </w:tr>
      <w:tr>
        <w:tblPrEx>
          <w:tblCellMar>
            <w:top w:w="0" w:type="dxa"/>
            <w:left w:w="108" w:type="dxa"/>
            <w:bottom w:w="0" w:type="dxa"/>
            <w:right w:w="108" w:type="dxa"/>
          </w:tblCellMar>
        </w:tblPrEx>
        <w:trPr>
          <w:cantSplit/>
          <w:trHeight w:val="367" w:hRule="atLeast"/>
        </w:trPr>
        <w:tc>
          <w:tcPr>
            <w:tcW w:w="3194"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全年员工总人数</w:t>
            </w:r>
          </w:p>
        </w:tc>
        <w:tc>
          <w:tcPr>
            <w:tcW w:w="834"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人</w:t>
            </w:r>
          </w:p>
        </w:tc>
        <w:tc>
          <w:tcPr>
            <w:tcW w:w="106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default" w:ascii="宋体" w:hAnsi="宋体" w:eastAsia="宋体" w:cs="宋体"/>
                <w:b w:val="0"/>
                <w:bCs/>
                <w:color w:val="000000" w:themeColor="text1"/>
                <w:kern w:val="0"/>
                <w:sz w:val="18"/>
                <w:szCs w:val="18"/>
                <w:lang w:val="en-US"/>
                <w14:textFill>
                  <w14:solidFill>
                    <w14:schemeClr w14:val="tx1"/>
                  </w14:solidFill>
                </w14:textFill>
              </w:rPr>
            </w:pPr>
            <w:r>
              <w:rPr>
                <w:rFonts w:hint="eastAsia" w:ascii="宋体" w:hAnsi="宋体" w:eastAsia="宋体" w:cs="宋体"/>
                <w:b w:val="0"/>
                <w:bCs/>
                <w:color w:val="000000"/>
                <w:kern w:val="0"/>
                <w:sz w:val="18"/>
                <w:szCs w:val="18"/>
                <w:lang w:val="en-US" w:eastAsia="zh-CN"/>
              </w:rPr>
              <w:t>858</w:t>
            </w:r>
          </w:p>
        </w:tc>
        <w:tc>
          <w:tcPr>
            <w:tcW w:w="1154"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w:t>
            </w:r>
          </w:p>
        </w:tc>
        <w:tc>
          <w:tcPr>
            <w:tcW w:w="89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w:t>
            </w:r>
          </w:p>
        </w:tc>
        <w:tc>
          <w:tcPr>
            <w:tcW w:w="127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1.51716</w:t>
            </w:r>
          </w:p>
        </w:tc>
        <w:tc>
          <w:tcPr>
            <w:tcW w:w="1053"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w:t>
            </w:r>
          </w:p>
        </w:tc>
        <w:tc>
          <w:tcPr>
            <w:tcW w:w="11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default" w:ascii="宋体" w:hAnsi="宋体" w:eastAsia="宋体" w:cs="宋体"/>
                <w:b w:val="0"/>
                <w:bCs/>
                <w:color w:val="000000" w:themeColor="text1"/>
                <w:kern w:val="0"/>
                <w:sz w:val="20"/>
                <w:szCs w:val="20"/>
                <w:lang w:val="en-US"/>
                <w14:textFill>
                  <w14:solidFill>
                    <w14:schemeClr w14:val="tx1"/>
                  </w14:solidFill>
                </w14:textFill>
              </w:rPr>
            </w:pPr>
            <w:r>
              <w:rPr>
                <w:rFonts w:hint="eastAsia" w:ascii="宋体" w:hAnsi="宋体" w:eastAsia="宋体" w:cs="宋体"/>
                <w:b w:val="0"/>
                <w:bCs/>
                <w:color w:val="000000"/>
                <w:kern w:val="0"/>
                <w:sz w:val="18"/>
                <w:szCs w:val="18"/>
                <w:lang w:val="en-US" w:eastAsia="zh-CN"/>
              </w:rPr>
              <w:t>854</w:t>
            </w:r>
          </w:p>
        </w:tc>
        <w:tc>
          <w:tcPr>
            <w:tcW w:w="100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color w:val="000000"/>
                <w:kern w:val="0"/>
                <w:sz w:val="18"/>
                <w:szCs w:val="18"/>
                <w:lang w:val="en-US" w:eastAsia="zh-CN"/>
              </w:rPr>
              <w:t>/</w:t>
            </w:r>
          </w:p>
        </w:tc>
        <w:tc>
          <w:tcPr>
            <w:tcW w:w="967"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color w:val="000000"/>
                <w:kern w:val="0"/>
                <w:sz w:val="18"/>
                <w:szCs w:val="18"/>
                <w:lang w:val="en-US" w:eastAsia="zh-CN"/>
              </w:rPr>
              <w:t>/</w:t>
            </w:r>
          </w:p>
        </w:tc>
        <w:tc>
          <w:tcPr>
            <w:tcW w:w="115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color w:val="000000"/>
                <w:kern w:val="0"/>
                <w:sz w:val="18"/>
                <w:szCs w:val="18"/>
                <w:lang w:val="en-US" w:eastAsia="zh-CN"/>
              </w:rPr>
              <w:t>1.67756</w:t>
            </w:r>
          </w:p>
        </w:tc>
        <w:tc>
          <w:tcPr>
            <w:tcW w:w="121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color w:val="000000"/>
                <w:kern w:val="0"/>
                <w:sz w:val="18"/>
                <w:szCs w:val="18"/>
                <w:lang w:val="en-US" w:eastAsia="zh-CN"/>
              </w:rPr>
              <w:t>/</w:t>
            </w:r>
          </w:p>
        </w:tc>
      </w:tr>
      <w:tr>
        <w:tblPrEx>
          <w:tblCellMar>
            <w:top w:w="0" w:type="dxa"/>
            <w:left w:w="108" w:type="dxa"/>
            <w:bottom w:w="0" w:type="dxa"/>
            <w:right w:w="108" w:type="dxa"/>
          </w:tblCellMar>
        </w:tblPrEx>
        <w:trPr>
          <w:cantSplit/>
          <w:trHeight w:val="458" w:hRule="atLeast"/>
        </w:trPr>
        <w:tc>
          <w:tcPr>
            <w:tcW w:w="3194"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全年办公面积*</w:t>
            </w:r>
          </w:p>
        </w:tc>
        <w:tc>
          <w:tcPr>
            <w:tcW w:w="834"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平方米</w:t>
            </w:r>
          </w:p>
        </w:tc>
        <w:tc>
          <w:tcPr>
            <w:tcW w:w="106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88000</w:t>
            </w:r>
          </w:p>
        </w:tc>
        <w:tc>
          <w:tcPr>
            <w:tcW w:w="1154"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w:t>
            </w:r>
          </w:p>
        </w:tc>
        <w:tc>
          <w:tcPr>
            <w:tcW w:w="89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w:t>
            </w:r>
          </w:p>
        </w:tc>
        <w:tc>
          <w:tcPr>
            <w:tcW w:w="127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w:t>
            </w:r>
          </w:p>
        </w:tc>
        <w:tc>
          <w:tcPr>
            <w:tcW w:w="1053"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0.01483</w:t>
            </w:r>
          </w:p>
        </w:tc>
        <w:tc>
          <w:tcPr>
            <w:tcW w:w="11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color w:val="000000"/>
                <w:kern w:val="0"/>
                <w:sz w:val="18"/>
                <w:szCs w:val="18"/>
                <w:lang w:val="en-US" w:eastAsia="zh-CN"/>
              </w:rPr>
              <w:t>88000</w:t>
            </w:r>
          </w:p>
        </w:tc>
        <w:tc>
          <w:tcPr>
            <w:tcW w:w="100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color w:val="000000"/>
                <w:kern w:val="0"/>
                <w:sz w:val="18"/>
                <w:szCs w:val="18"/>
                <w:lang w:val="en-US" w:eastAsia="zh-CN"/>
              </w:rPr>
              <w:t>/</w:t>
            </w:r>
          </w:p>
        </w:tc>
        <w:tc>
          <w:tcPr>
            <w:tcW w:w="967"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color w:val="000000"/>
                <w:kern w:val="0"/>
                <w:sz w:val="18"/>
                <w:szCs w:val="18"/>
                <w:lang w:val="en-US" w:eastAsia="zh-CN"/>
              </w:rPr>
              <w:t>/</w:t>
            </w:r>
          </w:p>
        </w:tc>
        <w:tc>
          <w:tcPr>
            <w:tcW w:w="115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color w:val="000000"/>
                <w:kern w:val="0"/>
                <w:sz w:val="18"/>
                <w:szCs w:val="18"/>
                <w:lang w:val="en-US" w:eastAsia="zh-CN"/>
              </w:rPr>
              <w:t>/</w:t>
            </w:r>
          </w:p>
        </w:tc>
        <w:tc>
          <w:tcPr>
            <w:tcW w:w="121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color w:val="000000"/>
                <w:kern w:val="0"/>
                <w:sz w:val="18"/>
                <w:szCs w:val="18"/>
                <w:lang w:val="en-US" w:eastAsia="zh-CN"/>
              </w:rPr>
              <w:t>0.01485</w:t>
            </w:r>
          </w:p>
        </w:tc>
      </w:tr>
      <w:tr>
        <w:tblPrEx>
          <w:tblCellMar>
            <w:top w:w="0" w:type="dxa"/>
            <w:left w:w="108" w:type="dxa"/>
            <w:bottom w:w="0" w:type="dxa"/>
            <w:right w:w="108" w:type="dxa"/>
          </w:tblCellMar>
        </w:tblPrEx>
        <w:trPr>
          <w:cantSplit/>
          <w:trHeight w:val="367" w:hRule="atLeast"/>
        </w:trPr>
        <w:tc>
          <w:tcPr>
            <w:tcW w:w="3194"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能源直接及间接温室气体排放总量（范围一+范围二）</w:t>
            </w:r>
          </w:p>
        </w:tc>
        <w:tc>
          <w:tcPr>
            <w:tcW w:w="834"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tCO2e</w:t>
            </w:r>
          </w:p>
        </w:tc>
        <w:tc>
          <w:tcPr>
            <w:tcW w:w="106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1304.76</w:t>
            </w:r>
          </w:p>
        </w:tc>
        <w:tc>
          <w:tcPr>
            <w:tcW w:w="1154"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w:t>
            </w:r>
          </w:p>
        </w:tc>
        <w:tc>
          <w:tcPr>
            <w:tcW w:w="89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w:t>
            </w:r>
          </w:p>
        </w:tc>
        <w:tc>
          <w:tcPr>
            <w:tcW w:w="127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w:t>
            </w:r>
          </w:p>
        </w:tc>
        <w:tc>
          <w:tcPr>
            <w:tcW w:w="1053"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w:t>
            </w:r>
          </w:p>
        </w:tc>
        <w:tc>
          <w:tcPr>
            <w:tcW w:w="11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color w:val="000000"/>
                <w:kern w:val="0"/>
                <w:sz w:val="18"/>
                <w:szCs w:val="18"/>
                <w:lang w:val="en-US" w:eastAsia="zh-CN"/>
              </w:rPr>
              <w:t>1306.8</w:t>
            </w:r>
          </w:p>
        </w:tc>
        <w:tc>
          <w:tcPr>
            <w:tcW w:w="100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color w:val="000000"/>
                <w:kern w:val="0"/>
                <w:sz w:val="18"/>
                <w:szCs w:val="18"/>
                <w:lang w:val="en-US" w:eastAsia="zh-CN"/>
              </w:rPr>
              <w:t>/</w:t>
            </w:r>
          </w:p>
        </w:tc>
        <w:tc>
          <w:tcPr>
            <w:tcW w:w="967"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color w:val="000000"/>
                <w:kern w:val="0"/>
                <w:sz w:val="18"/>
                <w:szCs w:val="18"/>
                <w:lang w:val="en-US" w:eastAsia="zh-CN"/>
              </w:rPr>
              <w:t>/</w:t>
            </w:r>
          </w:p>
        </w:tc>
        <w:tc>
          <w:tcPr>
            <w:tcW w:w="115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color w:val="000000"/>
                <w:kern w:val="0"/>
                <w:sz w:val="18"/>
                <w:szCs w:val="18"/>
                <w:lang w:val="en-US" w:eastAsia="zh-CN"/>
              </w:rPr>
              <w:t>/</w:t>
            </w:r>
          </w:p>
        </w:tc>
        <w:tc>
          <w:tcPr>
            <w:tcW w:w="121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color w:val="000000"/>
                <w:kern w:val="0"/>
                <w:sz w:val="18"/>
                <w:szCs w:val="18"/>
                <w:lang w:val="en-US" w:eastAsia="zh-CN"/>
              </w:rPr>
              <w:t>/</w:t>
            </w:r>
          </w:p>
        </w:tc>
      </w:tr>
      <w:tr>
        <w:tblPrEx>
          <w:tblCellMar>
            <w:top w:w="0" w:type="dxa"/>
            <w:left w:w="108" w:type="dxa"/>
            <w:bottom w:w="0" w:type="dxa"/>
            <w:right w:w="108" w:type="dxa"/>
          </w:tblCellMar>
        </w:tblPrEx>
        <w:trPr>
          <w:cantSplit/>
          <w:trHeight w:val="367" w:hRule="atLeast"/>
        </w:trPr>
        <w:tc>
          <w:tcPr>
            <w:tcW w:w="3194"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直接温室气体排放量（范围一）</w:t>
            </w:r>
          </w:p>
        </w:tc>
        <w:tc>
          <w:tcPr>
            <w:tcW w:w="834"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tCO2e</w:t>
            </w:r>
          </w:p>
        </w:tc>
        <w:tc>
          <w:tcPr>
            <w:tcW w:w="106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149.76</w:t>
            </w:r>
          </w:p>
        </w:tc>
        <w:tc>
          <w:tcPr>
            <w:tcW w:w="1154"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w:t>
            </w:r>
          </w:p>
        </w:tc>
        <w:tc>
          <w:tcPr>
            <w:tcW w:w="89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w:t>
            </w:r>
          </w:p>
        </w:tc>
        <w:tc>
          <w:tcPr>
            <w:tcW w:w="127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w:t>
            </w:r>
          </w:p>
        </w:tc>
        <w:tc>
          <w:tcPr>
            <w:tcW w:w="1053"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w:t>
            </w:r>
          </w:p>
        </w:tc>
        <w:tc>
          <w:tcPr>
            <w:tcW w:w="11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color w:val="000000"/>
                <w:kern w:val="0"/>
                <w:sz w:val="18"/>
                <w:szCs w:val="18"/>
                <w:lang w:val="en-US" w:eastAsia="zh-CN"/>
              </w:rPr>
              <w:t>177.8</w:t>
            </w:r>
          </w:p>
        </w:tc>
        <w:tc>
          <w:tcPr>
            <w:tcW w:w="100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color w:val="000000"/>
                <w:kern w:val="0"/>
                <w:sz w:val="18"/>
                <w:szCs w:val="18"/>
                <w:lang w:val="en-US" w:eastAsia="zh-CN"/>
              </w:rPr>
              <w:t>/</w:t>
            </w:r>
          </w:p>
        </w:tc>
        <w:tc>
          <w:tcPr>
            <w:tcW w:w="967"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color w:val="000000"/>
                <w:kern w:val="0"/>
                <w:sz w:val="18"/>
                <w:szCs w:val="18"/>
                <w:lang w:val="en-US" w:eastAsia="zh-CN"/>
              </w:rPr>
              <w:t>/</w:t>
            </w:r>
          </w:p>
        </w:tc>
        <w:tc>
          <w:tcPr>
            <w:tcW w:w="115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color w:val="000000"/>
                <w:kern w:val="0"/>
                <w:sz w:val="18"/>
                <w:szCs w:val="18"/>
                <w:lang w:val="en-US" w:eastAsia="zh-CN"/>
              </w:rPr>
              <w:t>/</w:t>
            </w:r>
          </w:p>
        </w:tc>
        <w:tc>
          <w:tcPr>
            <w:tcW w:w="121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color w:val="000000"/>
                <w:kern w:val="0"/>
                <w:sz w:val="18"/>
                <w:szCs w:val="18"/>
                <w:lang w:val="en-US" w:eastAsia="zh-CN"/>
              </w:rPr>
              <w:t>/</w:t>
            </w:r>
          </w:p>
        </w:tc>
      </w:tr>
      <w:tr>
        <w:tblPrEx>
          <w:tblCellMar>
            <w:top w:w="0" w:type="dxa"/>
            <w:left w:w="108" w:type="dxa"/>
            <w:bottom w:w="0" w:type="dxa"/>
            <w:right w:w="108" w:type="dxa"/>
          </w:tblCellMar>
        </w:tblPrEx>
        <w:trPr>
          <w:cantSplit/>
          <w:trHeight w:val="367" w:hRule="atLeast"/>
        </w:trPr>
        <w:tc>
          <w:tcPr>
            <w:tcW w:w="1824"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营业办公（含固定源、移动源）和采暖（制冷）设备消耗的化石能源</w:t>
            </w:r>
          </w:p>
        </w:tc>
        <w:tc>
          <w:tcPr>
            <w:tcW w:w="137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无烟煤</w:t>
            </w:r>
          </w:p>
        </w:tc>
        <w:tc>
          <w:tcPr>
            <w:tcW w:w="834"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t</w:t>
            </w:r>
          </w:p>
        </w:tc>
        <w:tc>
          <w:tcPr>
            <w:tcW w:w="106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0</w:t>
            </w:r>
          </w:p>
        </w:tc>
        <w:tc>
          <w:tcPr>
            <w:tcW w:w="1154"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0</w:t>
            </w:r>
          </w:p>
        </w:tc>
        <w:tc>
          <w:tcPr>
            <w:tcW w:w="89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0</w:t>
            </w:r>
          </w:p>
        </w:tc>
        <w:tc>
          <w:tcPr>
            <w:tcW w:w="127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w:t>
            </w:r>
          </w:p>
        </w:tc>
        <w:tc>
          <w:tcPr>
            <w:tcW w:w="1053"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w:t>
            </w:r>
          </w:p>
        </w:tc>
        <w:tc>
          <w:tcPr>
            <w:tcW w:w="11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color w:val="000000"/>
                <w:kern w:val="0"/>
                <w:sz w:val="18"/>
                <w:szCs w:val="18"/>
                <w:lang w:val="en-US" w:eastAsia="zh-CN"/>
              </w:rPr>
              <w:t>0</w:t>
            </w:r>
          </w:p>
        </w:tc>
        <w:tc>
          <w:tcPr>
            <w:tcW w:w="100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color w:val="000000"/>
                <w:kern w:val="0"/>
                <w:sz w:val="18"/>
                <w:szCs w:val="18"/>
                <w:lang w:val="en-US" w:eastAsia="zh-CN"/>
              </w:rPr>
              <w:t>0</w:t>
            </w:r>
          </w:p>
        </w:tc>
        <w:tc>
          <w:tcPr>
            <w:tcW w:w="967"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color w:val="000000"/>
                <w:kern w:val="0"/>
                <w:sz w:val="18"/>
                <w:szCs w:val="18"/>
                <w:lang w:val="en-US" w:eastAsia="zh-CN"/>
              </w:rPr>
              <w:t>0</w:t>
            </w:r>
          </w:p>
        </w:tc>
        <w:tc>
          <w:tcPr>
            <w:tcW w:w="115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color w:val="000000"/>
                <w:kern w:val="0"/>
                <w:sz w:val="18"/>
                <w:szCs w:val="18"/>
                <w:lang w:val="en-US" w:eastAsia="zh-CN"/>
              </w:rPr>
              <w:t>/</w:t>
            </w:r>
          </w:p>
        </w:tc>
        <w:tc>
          <w:tcPr>
            <w:tcW w:w="121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color w:val="000000"/>
                <w:kern w:val="0"/>
                <w:sz w:val="18"/>
                <w:szCs w:val="18"/>
                <w:lang w:val="en-US" w:eastAsia="zh-CN"/>
              </w:rPr>
              <w:t>/</w:t>
            </w:r>
          </w:p>
        </w:tc>
      </w:tr>
      <w:tr>
        <w:tblPrEx>
          <w:tblCellMar>
            <w:top w:w="0" w:type="dxa"/>
            <w:left w:w="108" w:type="dxa"/>
            <w:bottom w:w="0" w:type="dxa"/>
            <w:right w:w="108" w:type="dxa"/>
          </w:tblCellMar>
        </w:tblPrEx>
        <w:trPr>
          <w:cantSplit/>
          <w:trHeight w:val="367" w:hRule="atLeast"/>
        </w:trPr>
        <w:tc>
          <w:tcPr>
            <w:tcW w:w="1824"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营业办公（含固定源、移动源）和采暖（制冷）设备消耗的化石能源</w:t>
            </w:r>
          </w:p>
        </w:tc>
        <w:tc>
          <w:tcPr>
            <w:tcW w:w="137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柴油</w:t>
            </w:r>
          </w:p>
        </w:tc>
        <w:tc>
          <w:tcPr>
            <w:tcW w:w="834"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t</w:t>
            </w:r>
          </w:p>
        </w:tc>
        <w:tc>
          <w:tcPr>
            <w:tcW w:w="106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0</w:t>
            </w:r>
          </w:p>
        </w:tc>
        <w:tc>
          <w:tcPr>
            <w:tcW w:w="1154"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0</w:t>
            </w:r>
          </w:p>
        </w:tc>
        <w:tc>
          <w:tcPr>
            <w:tcW w:w="89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0</w:t>
            </w:r>
          </w:p>
        </w:tc>
        <w:tc>
          <w:tcPr>
            <w:tcW w:w="127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w:t>
            </w:r>
          </w:p>
        </w:tc>
        <w:tc>
          <w:tcPr>
            <w:tcW w:w="1053"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w:t>
            </w:r>
          </w:p>
        </w:tc>
        <w:tc>
          <w:tcPr>
            <w:tcW w:w="11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color w:val="000000"/>
                <w:kern w:val="0"/>
                <w:sz w:val="18"/>
                <w:szCs w:val="18"/>
                <w:lang w:val="en-US" w:eastAsia="zh-CN"/>
              </w:rPr>
              <w:t>0</w:t>
            </w:r>
          </w:p>
        </w:tc>
        <w:tc>
          <w:tcPr>
            <w:tcW w:w="100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color w:val="000000"/>
                <w:kern w:val="0"/>
                <w:sz w:val="18"/>
                <w:szCs w:val="18"/>
                <w:lang w:val="en-US" w:eastAsia="zh-CN"/>
              </w:rPr>
              <w:t>0</w:t>
            </w:r>
          </w:p>
        </w:tc>
        <w:tc>
          <w:tcPr>
            <w:tcW w:w="967"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color w:val="000000"/>
                <w:kern w:val="0"/>
                <w:sz w:val="18"/>
                <w:szCs w:val="18"/>
                <w:lang w:val="en-US" w:eastAsia="zh-CN"/>
              </w:rPr>
              <w:t>0</w:t>
            </w:r>
          </w:p>
        </w:tc>
        <w:tc>
          <w:tcPr>
            <w:tcW w:w="115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color w:val="000000"/>
                <w:kern w:val="0"/>
                <w:sz w:val="18"/>
                <w:szCs w:val="18"/>
                <w:lang w:val="en-US" w:eastAsia="zh-CN"/>
              </w:rPr>
              <w:t>/</w:t>
            </w:r>
          </w:p>
        </w:tc>
        <w:tc>
          <w:tcPr>
            <w:tcW w:w="121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color w:val="000000"/>
                <w:kern w:val="0"/>
                <w:sz w:val="18"/>
                <w:szCs w:val="18"/>
                <w:lang w:val="en-US" w:eastAsia="zh-CN"/>
              </w:rPr>
              <w:t>/</w:t>
            </w:r>
          </w:p>
        </w:tc>
      </w:tr>
      <w:tr>
        <w:tblPrEx>
          <w:tblCellMar>
            <w:top w:w="0" w:type="dxa"/>
            <w:left w:w="108" w:type="dxa"/>
            <w:bottom w:w="0" w:type="dxa"/>
            <w:right w:w="108" w:type="dxa"/>
          </w:tblCellMar>
        </w:tblPrEx>
        <w:trPr>
          <w:cantSplit/>
          <w:trHeight w:val="367" w:hRule="atLeast"/>
        </w:trPr>
        <w:tc>
          <w:tcPr>
            <w:tcW w:w="1824"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营业办公（含固定源、移动源）和采暖（制冷）设备消耗的化石能源</w:t>
            </w:r>
          </w:p>
        </w:tc>
        <w:tc>
          <w:tcPr>
            <w:tcW w:w="137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汽油</w:t>
            </w:r>
          </w:p>
        </w:tc>
        <w:tc>
          <w:tcPr>
            <w:tcW w:w="834"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t</w:t>
            </w:r>
          </w:p>
        </w:tc>
        <w:tc>
          <w:tcPr>
            <w:tcW w:w="106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19</w:t>
            </w:r>
          </w:p>
        </w:tc>
        <w:tc>
          <w:tcPr>
            <w:tcW w:w="1154"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0.02209</w:t>
            </w:r>
          </w:p>
        </w:tc>
        <w:tc>
          <w:tcPr>
            <w:tcW w:w="89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55.58</w:t>
            </w:r>
          </w:p>
        </w:tc>
        <w:tc>
          <w:tcPr>
            <w:tcW w:w="127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w:t>
            </w:r>
          </w:p>
        </w:tc>
        <w:tc>
          <w:tcPr>
            <w:tcW w:w="1053"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w:t>
            </w:r>
          </w:p>
        </w:tc>
        <w:tc>
          <w:tcPr>
            <w:tcW w:w="11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color w:val="000000"/>
                <w:kern w:val="0"/>
                <w:sz w:val="18"/>
                <w:szCs w:val="18"/>
                <w:lang w:val="en-US" w:eastAsia="zh-CN"/>
              </w:rPr>
              <w:t>23</w:t>
            </w:r>
          </w:p>
        </w:tc>
        <w:tc>
          <w:tcPr>
            <w:tcW w:w="100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color w:val="000000"/>
                <w:kern w:val="0"/>
                <w:sz w:val="18"/>
                <w:szCs w:val="18"/>
                <w:lang w:val="en-US" w:eastAsia="zh-CN"/>
              </w:rPr>
              <w:t>0.02953</w:t>
            </w:r>
          </w:p>
        </w:tc>
        <w:tc>
          <w:tcPr>
            <w:tcW w:w="967"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color w:val="000000"/>
                <w:kern w:val="0"/>
                <w:sz w:val="18"/>
                <w:szCs w:val="18"/>
                <w:lang w:val="en-US" w:eastAsia="zh-CN"/>
              </w:rPr>
              <w:t>69.98</w:t>
            </w:r>
          </w:p>
        </w:tc>
        <w:tc>
          <w:tcPr>
            <w:tcW w:w="115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color w:val="000000"/>
                <w:kern w:val="0"/>
                <w:sz w:val="18"/>
                <w:szCs w:val="18"/>
                <w:lang w:val="en-US" w:eastAsia="zh-CN"/>
              </w:rPr>
              <w:t>/</w:t>
            </w:r>
          </w:p>
        </w:tc>
        <w:tc>
          <w:tcPr>
            <w:tcW w:w="121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color w:val="000000"/>
                <w:kern w:val="0"/>
                <w:sz w:val="18"/>
                <w:szCs w:val="18"/>
                <w:lang w:val="en-US" w:eastAsia="zh-CN"/>
              </w:rPr>
              <w:t>/</w:t>
            </w:r>
          </w:p>
        </w:tc>
      </w:tr>
      <w:tr>
        <w:tblPrEx>
          <w:tblCellMar>
            <w:top w:w="0" w:type="dxa"/>
            <w:left w:w="108" w:type="dxa"/>
            <w:bottom w:w="0" w:type="dxa"/>
            <w:right w:w="108" w:type="dxa"/>
          </w:tblCellMar>
        </w:tblPrEx>
        <w:trPr>
          <w:cantSplit/>
          <w:trHeight w:val="367" w:hRule="atLeast"/>
        </w:trPr>
        <w:tc>
          <w:tcPr>
            <w:tcW w:w="1824"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营业办公（含固定源、移动源）和采暖（制冷）设备消耗的化石能源</w:t>
            </w:r>
          </w:p>
        </w:tc>
        <w:tc>
          <w:tcPr>
            <w:tcW w:w="137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天然气</w:t>
            </w:r>
          </w:p>
        </w:tc>
        <w:tc>
          <w:tcPr>
            <w:tcW w:w="834"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万Nm3</w:t>
            </w:r>
          </w:p>
        </w:tc>
        <w:tc>
          <w:tcPr>
            <w:tcW w:w="106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4.35</w:t>
            </w:r>
          </w:p>
        </w:tc>
        <w:tc>
          <w:tcPr>
            <w:tcW w:w="1154"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0.00506</w:t>
            </w:r>
          </w:p>
        </w:tc>
        <w:tc>
          <w:tcPr>
            <w:tcW w:w="89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94.18</w:t>
            </w:r>
          </w:p>
        </w:tc>
        <w:tc>
          <w:tcPr>
            <w:tcW w:w="127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w:t>
            </w:r>
          </w:p>
        </w:tc>
        <w:tc>
          <w:tcPr>
            <w:tcW w:w="1053"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w:t>
            </w:r>
          </w:p>
        </w:tc>
        <w:tc>
          <w:tcPr>
            <w:tcW w:w="11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color w:val="000000"/>
                <w:kern w:val="0"/>
                <w:sz w:val="18"/>
                <w:szCs w:val="18"/>
                <w:lang w:val="en-US" w:eastAsia="zh-CN"/>
              </w:rPr>
              <w:t>4.98</w:t>
            </w:r>
          </w:p>
        </w:tc>
        <w:tc>
          <w:tcPr>
            <w:tcW w:w="100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color w:val="000000"/>
                <w:kern w:val="0"/>
                <w:sz w:val="18"/>
                <w:szCs w:val="18"/>
                <w:lang w:val="en-US" w:eastAsia="zh-CN"/>
              </w:rPr>
              <w:t>0.00639</w:t>
            </w:r>
          </w:p>
        </w:tc>
        <w:tc>
          <w:tcPr>
            <w:tcW w:w="967"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color w:val="000000"/>
                <w:kern w:val="0"/>
                <w:sz w:val="18"/>
                <w:szCs w:val="18"/>
                <w:lang w:val="en-US" w:eastAsia="zh-CN"/>
              </w:rPr>
              <w:t>107.82</w:t>
            </w:r>
          </w:p>
        </w:tc>
        <w:tc>
          <w:tcPr>
            <w:tcW w:w="115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color w:val="000000"/>
                <w:kern w:val="0"/>
                <w:sz w:val="18"/>
                <w:szCs w:val="18"/>
                <w:lang w:val="en-US" w:eastAsia="zh-CN"/>
              </w:rPr>
              <w:t>/</w:t>
            </w:r>
          </w:p>
        </w:tc>
        <w:tc>
          <w:tcPr>
            <w:tcW w:w="121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color w:val="000000"/>
                <w:kern w:val="0"/>
                <w:sz w:val="18"/>
                <w:szCs w:val="18"/>
                <w:lang w:val="en-US" w:eastAsia="zh-CN"/>
              </w:rPr>
              <w:t>/</w:t>
            </w:r>
          </w:p>
        </w:tc>
      </w:tr>
      <w:tr>
        <w:tblPrEx>
          <w:tblCellMar>
            <w:top w:w="0" w:type="dxa"/>
            <w:left w:w="108" w:type="dxa"/>
            <w:bottom w:w="0" w:type="dxa"/>
            <w:right w:w="108" w:type="dxa"/>
          </w:tblCellMar>
        </w:tblPrEx>
        <w:trPr>
          <w:cantSplit/>
          <w:trHeight w:val="367" w:hRule="atLeast"/>
        </w:trPr>
        <w:tc>
          <w:tcPr>
            <w:tcW w:w="3194"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能源间接温室气体排放量（范围二）</w:t>
            </w:r>
          </w:p>
        </w:tc>
        <w:tc>
          <w:tcPr>
            <w:tcW w:w="834"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tCO2e</w:t>
            </w:r>
          </w:p>
        </w:tc>
        <w:tc>
          <w:tcPr>
            <w:tcW w:w="106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1155</w:t>
            </w:r>
          </w:p>
        </w:tc>
        <w:tc>
          <w:tcPr>
            <w:tcW w:w="1154"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w:t>
            </w:r>
          </w:p>
        </w:tc>
        <w:tc>
          <w:tcPr>
            <w:tcW w:w="89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w:t>
            </w:r>
          </w:p>
        </w:tc>
        <w:tc>
          <w:tcPr>
            <w:tcW w:w="127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w:t>
            </w:r>
          </w:p>
        </w:tc>
        <w:tc>
          <w:tcPr>
            <w:tcW w:w="1053"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w:t>
            </w:r>
          </w:p>
        </w:tc>
        <w:tc>
          <w:tcPr>
            <w:tcW w:w="11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color w:val="000000"/>
                <w:kern w:val="0"/>
                <w:sz w:val="18"/>
                <w:szCs w:val="18"/>
                <w:lang w:val="en-US" w:eastAsia="zh-CN"/>
              </w:rPr>
              <w:t>1129.02</w:t>
            </w:r>
          </w:p>
        </w:tc>
        <w:tc>
          <w:tcPr>
            <w:tcW w:w="100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color w:val="000000"/>
                <w:kern w:val="0"/>
                <w:sz w:val="18"/>
                <w:szCs w:val="18"/>
                <w:lang w:val="en-US" w:eastAsia="zh-CN"/>
              </w:rPr>
              <w:t>/</w:t>
            </w:r>
          </w:p>
        </w:tc>
        <w:tc>
          <w:tcPr>
            <w:tcW w:w="967"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color w:val="000000"/>
                <w:kern w:val="0"/>
                <w:sz w:val="18"/>
                <w:szCs w:val="18"/>
                <w:lang w:val="en-US" w:eastAsia="zh-CN"/>
              </w:rPr>
              <w:t>/</w:t>
            </w:r>
          </w:p>
        </w:tc>
        <w:tc>
          <w:tcPr>
            <w:tcW w:w="115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color w:val="000000"/>
                <w:kern w:val="0"/>
                <w:sz w:val="18"/>
                <w:szCs w:val="18"/>
                <w:lang w:val="en-US" w:eastAsia="zh-CN"/>
              </w:rPr>
              <w:t>/</w:t>
            </w:r>
          </w:p>
        </w:tc>
        <w:tc>
          <w:tcPr>
            <w:tcW w:w="121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color w:val="000000"/>
                <w:kern w:val="0"/>
                <w:sz w:val="18"/>
                <w:szCs w:val="18"/>
                <w:lang w:val="en-US" w:eastAsia="zh-CN"/>
              </w:rPr>
              <w:t>/</w:t>
            </w:r>
          </w:p>
        </w:tc>
      </w:tr>
      <w:tr>
        <w:tblPrEx>
          <w:tblCellMar>
            <w:top w:w="0" w:type="dxa"/>
            <w:left w:w="108" w:type="dxa"/>
            <w:bottom w:w="0" w:type="dxa"/>
            <w:right w:w="108" w:type="dxa"/>
          </w:tblCellMar>
        </w:tblPrEx>
        <w:trPr>
          <w:cantSplit/>
          <w:trHeight w:val="367" w:hRule="atLeast"/>
        </w:trPr>
        <w:tc>
          <w:tcPr>
            <w:tcW w:w="1824"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消耗的外部输入的电力、热、冷或蒸汽</w:t>
            </w:r>
          </w:p>
        </w:tc>
        <w:tc>
          <w:tcPr>
            <w:tcW w:w="137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电力</w:t>
            </w:r>
          </w:p>
        </w:tc>
        <w:tc>
          <w:tcPr>
            <w:tcW w:w="834"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MWh</w:t>
            </w:r>
          </w:p>
        </w:tc>
        <w:tc>
          <w:tcPr>
            <w:tcW w:w="106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2100</w:t>
            </w:r>
          </w:p>
        </w:tc>
        <w:tc>
          <w:tcPr>
            <w:tcW w:w="1154"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2.44186</w:t>
            </w:r>
          </w:p>
        </w:tc>
        <w:tc>
          <w:tcPr>
            <w:tcW w:w="89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1155</w:t>
            </w:r>
          </w:p>
        </w:tc>
        <w:tc>
          <w:tcPr>
            <w:tcW w:w="127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w:t>
            </w:r>
          </w:p>
        </w:tc>
        <w:tc>
          <w:tcPr>
            <w:tcW w:w="1053"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w:t>
            </w:r>
          </w:p>
        </w:tc>
        <w:tc>
          <w:tcPr>
            <w:tcW w:w="11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color w:val="000000"/>
                <w:kern w:val="0"/>
                <w:sz w:val="18"/>
                <w:szCs w:val="18"/>
                <w:lang w:val="en-US" w:eastAsia="zh-CN"/>
              </w:rPr>
              <w:t>2010</w:t>
            </w:r>
          </w:p>
        </w:tc>
        <w:tc>
          <w:tcPr>
            <w:tcW w:w="100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color w:val="000000"/>
                <w:kern w:val="0"/>
                <w:sz w:val="18"/>
                <w:szCs w:val="18"/>
                <w:lang w:val="en-US" w:eastAsia="zh-CN"/>
              </w:rPr>
              <w:t>2.58023</w:t>
            </w:r>
          </w:p>
        </w:tc>
        <w:tc>
          <w:tcPr>
            <w:tcW w:w="967"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color w:val="000000"/>
                <w:kern w:val="0"/>
                <w:sz w:val="18"/>
                <w:szCs w:val="18"/>
                <w:lang w:val="en-US" w:eastAsia="zh-CN"/>
              </w:rPr>
              <w:t>1129.02</w:t>
            </w:r>
          </w:p>
        </w:tc>
        <w:tc>
          <w:tcPr>
            <w:tcW w:w="115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color w:val="000000"/>
                <w:kern w:val="0"/>
                <w:sz w:val="18"/>
                <w:szCs w:val="18"/>
                <w:lang w:val="en-US" w:eastAsia="zh-CN"/>
              </w:rPr>
              <w:t>/</w:t>
            </w:r>
          </w:p>
        </w:tc>
        <w:tc>
          <w:tcPr>
            <w:tcW w:w="121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color w:val="000000"/>
                <w:kern w:val="0"/>
                <w:sz w:val="18"/>
                <w:szCs w:val="18"/>
                <w:lang w:val="en-US" w:eastAsia="zh-CN"/>
              </w:rPr>
              <w:t>/</w:t>
            </w:r>
          </w:p>
        </w:tc>
      </w:tr>
      <w:tr>
        <w:tblPrEx>
          <w:tblCellMar>
            <w:top w:w="0" w:type="dxa"/>
            <w:left w:w="108" w:type="dxa"/>
            <w:bottom w:w="0" w:type="dxa"/>
            <w:right w:w="108" w:type="dxa"/>
          </w:tblCellMar>
        </w:tblPrEx>
        <w:trPr>
          <w:cantSplit/>
          <w:trHeight w:val="367" w:hRule="atLeast"/>
        </w:trPr>
        <w:tc>
          <w:tcPr>
            <w:tcW w:w="1824"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消耗的外部输入的电力、热、冷或蒸汽</w:t>
            </w:r>
          </w:p>
        </w:tc>
        <w:tc>
          <w:tcPr>
            <w:tcW w:w="137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热力</w:t>
            </w:r>
          </w:p>
        </w:tc>
        <w:tc>
          <w:tcPr>
            <w:tcW w:w="834"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GJ</w:t>
            </w:r>
          </w:p>
        </w:tc>
        <w:tc>
          <w:tcPr>
            <w:tcW w:w="106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0</w:t>
            </w:r>
          </w:p>
        </w:tc>
        <w:tc>
          <w:tcPr>
            <w:tcW w:w="1154"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0</w:t>
            </w:r>
          </w:p>
        </w:tc>
        <w:tc>
          <w:tcPr>
            <w:tcW w:w="89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0</w:t>
            </w:r>
          </w:p>
        </w:tc>
        <w:tc>
          <w:tcPr>
            <w:tcW w:w="127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w:t>
            </w:r>
          </w:p>
        </w:tc>
        <w:tc>
          <w:tcPr>
            <w:tcW w:w="1053"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w:t>
            </w:r>
          </w:p>
        </w:tc>
        <w:tc>
          <w:tcPr>
            <w:tcW w:w="11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color w:val="000000"/>
                <w:kern w:val="0"/>
                <w:sz w:val="18"/>
                <w:szCs w:val="18"/>
                <w:lang w:val="en-US" w:eastAsia="zh-CN"/>
              </w:rPr>
              <w:t>0</w:t>
            </w:r>
          </w:p>
        </w:tc>
        <w:tc>
          <w:tcPr>
            <w:tcW w:w="100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color w:val="000000"/>
                <w:kern w:val="0"/>
                <w:sz w:val="18"/>
                <w:szCs w:val="18"/>
                <w:lang w:val="en-US" w:eastAsia="zh-CN"/>
              </w:rPr>
              <w:t>0</w:t>
            </w:r>
          </w:p>
        </w:tc>
        <w:tc>
          <w:tcPr>
            <w:tcW w:w="967"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color w:val="000000"/>
                <w:kern w:val="0"/>
                <w:sz w:val="18"/>
                <w:szCs w:val="18"/>
                <w:lang w:val="en-US" w:eastAsia="zh-CN"/>
              </w:rPr>
              <w:t>0</w:t>
            </w:r>
          </w:p>
        </w:tc>
        <w:tc>
          <w:tcPr>
            <w:tcW w:w="115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color w:val="000000"/>
                <w:kern w:val="0"/>
                <w:sz w:val="18"/>
                <w:szCs w:val="18"/>
                <w:lang w:val="en-US" w:eastAsia="zh-CN"/>
              </w:rPr>
              <w:t>/</w:t>
            </w:r>
          </w:p>
        </w:tc>
        <w:tc>
          <w:tcPr>
            <w:tcW w:w="121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color w:val="000000"/>
                <w:kern w:val="0"/>
                <w:sz w:val="18"/>
                <w:szCs w:val="18"/>
                <w:lang w:val="en-US" w:eastAsia="zh-CN"/>
              </w:rPr>
              <w:t>/</w:t>
            </w:r>
          </w:p>
        </w:tc>
      </w:tr>
    </w:tbl>
    <w:p>
      <w:pPr>
        <w:widowControl/>
        <w:spacing w:line="240" w:lineRule="auto"/>
        <w:ind w:firstLine="0" w:firstLineChars="0"/>
        <w:jc w:val="center"/>
        <w:rPr>
          <w:rFonts w:hint="eastAsia" w:ascii="宋体" w:hAnsi="宋体" w:eastAsia="宋体" w:cs="宋体"/>
          <w:b w:val="0"/>
          <w:bCs/>
          <w:color w:val="0070C0"/>
          <w:kern w:val="0"/>
          <w:sz w:val="18"/>
          <w:szCs w:val="18"/>
          <w:lang w:val="en-US" w:eastAsia="zh-CN"/>
        </w:rPr>
      </w:pPr>
      <w:r>
        <w:rPr>
          <w:rFonts w:hint="eastAsia" w:ascii="宋体" w:hAnsi="宋体" w:eastAsia="宋体" w:cs="宋体"/>
          <w:b w:val="0"/>
          <w:bCs/>
          <w:color w:val="0070C0"/>
          <w:kern w:val="0"/>
          <w:sz w:val="18"/>
          <w:szCs w:val="18"/>
          <w:lang w:val="en-US" w:eastAsia="zh-CN"/>
        </w:rPr>
        <w:t>6-3经营活动碳排放（范围三）</w:t>
      </w:r>
    </w:p>
    <w:tbl>
      <w:tblPr>
        <w:tblStyle w:val="21"/>
        <w:tblW w:w="14696" w:type="dxa"/>
        <w:tblInd w:w="0" w:type="dxa"/>
        <w:tblLayout w:type="fixed"/>
        <w:tblCellMar>
          <w:top w:w="0" w:type="dxa"/>
          <w:left w:w="108" w:type="dxa"/>
          <w:bottom w:w="0" w:type="dxa"/>
          <w:right w:w="108" w:type="dxa"/>
        </w:tblCellMar>
      </w:tblPr>
      <w:tblGrid>
        <w:gridCol w:w="1829"/>
        <w:gridCol w:w="2734"/>
        <w:gridCol w:w="1500"/>
        <w:gridCol w:w="1591"/>
        <w:gridCol w:w="1829"/>
        <w:gridCol w:w="1375"/>
        <w:gridCol w:w="2012"/>
        <w:gridCol w:w="1826"/>
      </w:tblGrid>
      <w:tr>
        <w:tblPrEx>
          <w:tblCellMar>
            <w:top w:w="0" w:type="dxa"/>
            <w:left w:w="108" w:type="dxa"/>
            <w:bottom w:w="0" w:type="dxa"/>
            <w:right w:w="108" w:type="dxa"/>
          </w:tblCellMar>
        </w:tblPrEx>
        <w:trPr>
          <w:trHeight w:val="206" w:hRule="atLeast"/>
          <w:tblHeader/>
        </w:trPr>
        <w:tc>
          <w:tcPr>
            <w:tcW w:w="1829" w:type="dxa"/>
            <w:vMerge w:val="restart"/>
            <w:tcBorders>
              <w:top w:val="single" w:color="000000" w:sz="4" w:space="0"/>
              <w:left w:val="single" w:color="000000" w:sz="4" w:space="0"/>
              <w:bottom w:val="single" w:color="000000" w:sz="4" w:space="0"/>
              <w:right w:val="single" w:color="000000" w:sz="4" w:space="0"/>
            </w:tcBorders>
            <w:noWrap w:val="0"/>
            <w:vAlign w:val="center"/>
          </w:tcPr>
          <w:p>
            <w:r>
              <w:rPr>
                <w:rFonts w:ascii="宋体" w:hAnsi="宋体" w:eastAsia="宋体" w:cs="宋体"/>
                <w:b/>
                <w:sz w:val="18"/>
              </w:rPr>
              <w:t>核算要素</w:t>
            </w:r>
          </w:p>
        </w:tc>
        <w:tc>
          <w:tcPr>
            <w:tcW w:w="2734"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firstLine="0" w:firstLineChars="0"/>
              <w:jc w:val="center"/>
              <w:rPr>
                <w:rFonts w:hint="eastAsia" w:ascii="宋体" w:hAnsi="宋体" w:eastAsia="宋体" w:cs="宋体"/>
                <w:b/>
                <w:bCs w:val="0"/>
                <w:color w:val="000000" w:themeColor="text1"/>
                <w:kern w:val="0"/>
                <w:sz w:val="18"/>
                <w:szCs w:val="18"/>
                <w14:textFill>
                  <w14:solidFill>
                    <w14:schemeClr w14:val="tx1"/>
                  </w14:solidFill>
                </w14:textFill>
              </w:rPr>
            </w:pPr>
            <w:r>
              <w:rPr>
                <w:rFonts w:hint="eastAsia" w:ascii="宋体" w:hAnsi="宋体" w:eastAsia="宋体" w:cs="宋体"/>
                <w:b/>
                <w:bCs w:val="0"/>
                <w:color w:val="000000" w:themeColor="text1"/>
                <w:kern w:val="0"/>
                <w:sz w:val="18"/>
                <w:szCs w:val="18"/>
                <w14:textFill>
                  <w14:solidFill>
                    <w14:schemeClr w14:val="tx1"/>
                  </w14:solidFill>
                </w14:textFill>
              </w:rPr>
              <w:t>核算细项</w:t>
            </w:r>
          </w:p>
        </w:tc>
        <w:tc>
          <w:tcPr>
            <w:tcW w:w="4920" w:type="dxa"/>
            <w:gridSpan w:val="3"/>
            <w:tcBorders>
              <w:top w:val="single" w:color="000000" w:sz="4" w:space="0"/>
              <w:left w:val="single" w:color="auto" w:sz="4" w:space="0"/>
              <w:bottom w:val="single" w:color="000000" w:sz="4" w:space="0"/>
              <w:right w:val="single" w:color="000000" w:sz="4" w:space="0"/>
            </w:tcBorders>
            <w:noWrap w:val="0"/>
            <w:vAlign w:val="center"/>
          </w:tcPr>
          <w:p>
            <w:pPr>
              <w:spacing w:line="240" w:lineRule="auto"/>
              <w:ind w:firstLine="0" w:firstLineChars="0"/>
              <w:jc w:val="center"/>
              <w:rPr>
                <w:rFonts w:hint="eastAsia" w:ascii="宋体" w:hAnsi="宋体" w:eastAsia="宋体" w:cs="宋体"/>
                <w:b/>
                <w:bCs w:val="0"/>
                <w:color w:val="000000" w:themeColor="text1"/>
                <w:kern w:val="0"/>
                <w:sz w:val="18"/>
                <w:szCs w:val="18"/>
                <w14:textFill>
                  <w14:solidFill>
                    <w14:schemeClr w14:val="tx1"/>
                  </w14:solidFill>
                </w14:textFill>
              </w:rPr>
            </w:pPr>
            <w:r>
              <w:rPr>
                <w:rFonts w:hint="eastAsia" w:ascii="宋体" w:hAnsi="宋体" w:eastAsia="宋体" w:cs="宋体"/>
                <w:b/>
                <w:bCs w:val="0"/>
                <w:color w:val="000000"/>
                <w:kern w:val="0"/>
                <w:sz w:val="18"/>
                <w:szCs w:val="18"/>
                <w:lang w:val="en-US" w:eastAsia="zh-CN"/>
              </w:rPr>
              <w:t>2025</w:t>
            </w:r>
            <w:r>
              <w:rPr>
                <w:rFonts w:hint="eastAsia" w:ascii="宋体" w:hAnsi="宋体" w:eastAsia="宋体" w:cs="宋体"/>
                <w:b/>
                <w:bCs w:val="0"/>
                <w:color w:val="000000" w:themeColor="text1"/>
                <w:kern w:val="0"/>
                <w:sz w:val="18"/>
                <w:szCs w:val="18"/>
                <w14:textFill>
                  <w14:solidFill>
                    <w14:schemeClr w14:val="tx1"/>
                  </w14:solidFill>
                </w14:textFill>
              </w:rPr>
              <w:t>年</w:t>
            </w:r>
          </w:p>
        </w:tc>
        <w:tc>
          <w:tcPr>
            <w:tcW w:w="5213" w:type="dxa"/>
            <w:gridSpan w:val="3"/>
            <w:tcBorders>
              <w:top w:val="single" w:color="000000" w:sz="4" w:space="0"/>
              <w:left w:val="single" w:color="auto" w:sz="4" w:space="0"/>
              <w:bottom w:val="single" w:color="000000" w:sz="4" w:space="0"/>
              <w:right w:val="single" w:color="auto" w:sz="4" w:space="0"/>
            </w:tcBorders>
            <w:noWrap w:val="0"/>
            <w:vAlign w:val="center"/>
          </w:tcPr>
          <w:p>
            <w:pPr>
              <w:widowControl/>
              <w:spacing w:line="240" w:lineRule="auto"/>
              <w:ind w:firstLine="0" w:firstLineChars="0"/>
              <w:jc w:val="center"/>
              <w:rPr>
                <w:rFonts w:hint="eastAsia" w:ascii="宋体" w:hAnsi="宋体" w:eastAsia="宋体" w:cs="宋体"/>
                <w:b/>
                <w:bCs w:val="0"/>
                <w:color w:val="000000" w:themeColor="text1"/>
                <w14:textFill>
                  <w14:solidFill>
                    <w14:schemeClr w14:val="tx1"/>
                  </w14:solidFill>
                </w14:textFill>
              </w:rPr>
            </w:pPr>
            <w:r>
              <w:rPr>
                <w:rFonts w:hint="eastAsia" w:ascii="宋体" w:hAnsi="宋体" w:eastAsia="宋体" w:cs="宋体"/>
                <w:b/>
                <w:bCs w:val="0"/>
                <w:color w:val="000000"/>
                <w:kern w:val="0"/>
                <w:sz w:val="18"/>
                <w:szCs w:val="18"/>
                <w:lang w:val="en-US" w:eastAsia="zh-CN"/>
              </w:rPr>
              <w:t>2024</w:t>
            </w:r>
            <w:r>
              <w:rPr>
                <w:rFonts w:hint="eastAsia" w:ascii="宋体" w:hAnsi="宋体" w:eastAsia="宋体" w:cs="宋体"/>
                <w:b/>
                <w:bCs w:val="0"/>
                <w:color w:val="000000" w:themeColor="text1"/>
                <w:kern w:val="0"/>
                <w:sz w:val="18"/>
                <w:szCs w:val="18"/>
                <w14:textFill>
                  <w14:solidFill>
                    <w14:schemeClr w14:val="tx1"/>
                  </w14:solidFill>
                </w14:textFill>
              </w:rPr>
              <w:t>年</w:t>
            </w:r>
          </w:p>
        </w:tc>
      </w:tr>
      <w:tr>
        <w:tblPrEx>
          <w:tblCellMar>
            <w:top w:w="0" w:type="dxa"/>
            <w:left w:w="108" w:type="dxa"/>
            <w:bottom w:w="0" w:type="dxa"/>
            <w:right w:w="108" w:type="dxa"/>
          </w:tblCellMar>
        </w:tblPrEx>
        <w:trPr>
          <w:trHeight w:val="407" w:hRule="atLeast"/>
          <w:tblHeader/>
        </w:trPr>
        <w:tc>
          <w:tcPr>
            <w:tcW w:w="1829"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firstLine="0" w:firstLineChars="0"/>
              <w:jc w:val="left"/>
              <w:rPr>
                <w:rFonts w:hint="eastAsia" w:ascii="宋体" w:hAnsi="宋体" w:eastAsia="宋体" w:cs="宋体"/>
                <w:b/>
                <w:bCs w:val="0"/>
                <w:color w:val="000000" w:themeColor="text1"/>
                <w:kern w:val="0"/>
                <w:sz w:val="18"/>
                <w:szCs w:val="18"/>
                <w14:textFill>
                  <w14:solidFill>
                    <w14:schemeClr w14:val="tx1"/>
                  </w14:solidFill>
                </w14:textFill>
              </w:rPr>
            </w:pPr>
          </w:p>
        </w:tc>
        <w:tc>
          <w:tcPr>
            <w:tcW w:w="2734"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firstLine="0" w:firstLineChars="0"/>
              <w:jc w:val="left"/>
              <w:rPr>
                <w:rFonts w:hint="eastAsia" w:ascii="宋体" w:hAnsi="宋体" w:eastAsia="宋体" w:cs="宋体"/>
                <w:b/>
                <w:bCs w:val="0"/>
                <w:color w:val="000000" w:themeColor="text1"/>
                <w:kern w:val="0"/>
                <w:sz w:val="18"/>
                <w:szCs w:val="18"/>
                <w14:textFill>
                  <w14:solidFill>
                    <w14:schemeClr w14:val="tx1"/>
                  </w14:solidFill>
                </w14:textFill>
              </w:rPr>
            </w:pPr>
          </w:p>
        </w:tc>
        <w:tc>
          <w:tcPr>
            <w:tcW w:w="1500" w:type="dxa"/>
            <w:tcBorders>
              <w:top w:val="single" w:color="000000" w:sz="4" w:space="0"/>
              <w:left w:val="single" w:color="auto" w:sz="4" w:space="0"/>
              <w:bottom w:val="single" w:color="000000" w:sz="4" w:space="0"/>
              <w:right w:val="single" w:color="000000" w:sz="4" w:space="0"/>
            </w:tcBorders>
            <w:noWrap w:val="0"/>
            <w:vAlign w:val="center"/>
          </w:tcPr>
          <w:p>
            <w:pPr>
              <w:widowControl/>
              <w:spacing w:line="240" w:lineRule="auto"/>
              <w:ind w:firstLine="0" w:firstLineChars="0"/>
              <w:jc w:val="center"/>
              <w:rPr>
                <w:rFonts w:hint="eastAsia" w:ascii="宋体" w:hAnsi="宋体" w:eastAsia="宋体" w:cs="宋体"/>
                <w:b/>
                <w:bCs w:val="0"/>
                <w:color w:val="000000" w:themeColor="text1"/>
                <w:kern w:val="0"/>
                <w:sz w:val="18"/>
                <w:szCs w:val="18"/>
                <w14:textFill>
                  <w14:solidFill>
                    <w14:schemeClr w14:val="tx1"/>
                  </w14:solidFill>
                </w14:textFill>
              </w:rPr>
            </w:pPr>
            <w:r>
              <w:rPr>
                <w:rFonts w:hint="eastAsia" w:ascii="宋体" w:hAnsi="宋体" w:eastAsia="宋体" w:cs="宋体"/>
                <w:b/>
                <w:bCs w:val="0"/>
                <w:color w:val="000000" w:themeColor="text1"/>
                <w:kern w:val="0"/>
                <w:sz w:val="18"/>
                <w:szCs w:val="18"/>
                <w14:textFill>
                  <w14:solidFill>
                    <w14:schemeClr w14:val="tx1"/>
                  </w14:solidFill>
                </w14:textFill>
              </w:rPr>
              <w:t>碳排放量（</w:t>
            </w:r>
            <w:r>
              <w:rPr>
                <w:rFonts w:hint="default" w:ascii="宋体" w:hAnsi="宋体" w:eastAsia="宋体" w:cs="宋体"/>
                <w:b/>
                <w:bCs w:val="0"/>
                <w:color w:val="000000" w:themeColor="text1"/>
                <w:kern w:val="0"/>
                <w:sz w:val="18"/>
                <w:szCs w:val="18"/>
                <w:lang w:val="en-US"/>
                <w14:textFill>
                  <w14:solidFill>
                    <w14:schemeClr w14:val="tx1"/>
                  </w14:solidFill>
                </w14:textFill>
              </w:rPr>
              <w:t>tCO2e</w:t>
            </w:r>
            <w:r>
              <w:rPr>
                <w:rFonts w:hint="eastAsia" w:ascii="宋体" w:hAnsi="宋体" w:eastAsia="宋体" w:cs="宋体"/>
                <w:b/>
                <w:bCs w:val="0"/>
                <w:color w:val="000000" w:themeColor="text1"/>
                <w:kern w:val="0"/>
                <w:sz w:val="18"/>
                <w:szCs w:val="18"/>
                <w14:textFill>
                  <w14:solidFill>
                    <w14:schemeClr w14:val="tx1"/>
                  </w14:solidFill>
                </w14:textFill>
              </w:rPr>
              <w:t>）</w:t>
            </w:r>
          </w:p>
        </w:tc>
        <w:tc>
          <w:tcPr>
            <w:tcW w:w="1591"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firstLine="0" w:firstLineChars="0"/>
              <w:jc w:val="center"/>
              <w:rPr>
                <w:rFonts w:hint="eastAsia" w:ascii="宋体" w:hAnsi="宋体" w:eastAsia="宋体" w:cs="宋体"/>
                <w:b/>
                <w:bCs w:val="0"/>
                <w:color w:val="000000" w:themeColor="text1"/>
                <w:kern w:val="0"/>
                <w:sz w:val="18"/>
                <w:szCs w:val="18"/>
                <w14:textFill>
                  <w14:solidFill>
                    <w14:schemeClr w14:val="tx1"/>
                  </w14:solidFill>
                </w14:textFill>
              </w:rPr>
            </w:pPr>
            <w:r>
              <w:rPr>
                <w:rFonts w:hint="eastAsia" w:ascii="宋体" w:hAnsi="宋体" w:eastAsia="宋体" w:cs="宋体"/>
                <w:b/>
                <w:bCs w:val="0"/>
                <w:color w:val="000000" w:themeColor="text1"/>
                <w:kern w:val="0"/>
                <w:sz w:val="18"/>
                <w:szCs w:val="18"/>
                <w14:textFill>
                  <w14:solidFill>
                    <w14:schemeClr w14:val="tx1"/>
                  </w14:solidFill>
                </w14:textFill>
              </w:rPr>
              <w:t>人均碳排放量（</w:t>
            </w:r>
            <w:r>
              <w:rPr>
                <w:rFonts w:hint="default" w:ascii="宋体" w:hAnsi="宋体" w:eastAsia="宋体" w:cs="宋体"/>
                <w:b/>
                <w:bCs w:val="0"/>
                <w:color w:val="000000" w:themeColor="text1"/>
                <w:kern w:val="0"/>
                <w:sz w:val="18"/>
                <w:szCs w:val="18"/>
                <w:lang w:val="en-US"/>
                <w14:textFill>
                  <w14:solidFill>
                    <w14:schemeClr w14:val="tx1"/>
                  </w14:solidFill>
                </w14:textFill>
              </w:rPr>
              <w:t>tCO2e</w:t>
            </w:r>
            <w:r>
              <w:rPr>
                <w:rFonts w:hint="eastAsia" w:ascii="宋体" w:hAnsi="宋体" w:eastAsia="宋体" w:cs="宋体"/>
                <w:b/>
                <w:bCs w:val="0"/>
                <w:color w:val="000000" w:themeColor="text1"/>
                <w:kern w:val="0"/>
                <w:sz w:val="18"/>
                <w:szCs w:val="18"/>
                <w14:textFill>
                  <w14:solidFill>
                    <w14:schemeClr w14:val="tx1"/>
                  </w14:solidFill>
                </w14:textFill>
              </w:rPr>
              <w:t>/人）</w:t>
            </w:r>
          </w:p>
        </w:tc>
        <w:tc>
          <w:tcPr>
            <w:tcW w:w="1829"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firstLine="0" w:firstLineChars="0"/>
              <w:jc w:val="center"/>
              <w:rPr>
                <w:rFonts w:hint="eastAsia" w:ascii="宋体" w:hAnsi="宋体" w:eastAsia="宋体" w:cs="宋体"/>
                <w:b/>
                <w:bCs w:val="0"/>
                <w:color w:val="000000" w:themeColor="text1"/>
                <w:kern w:val="0"/>
                <w:sz w:val="18"/>
                <w:szCs w:val="18"/>
                <w14:textFill>
                  <w14:solidFill>
                    <w14:schemeClr w14:val="tx1"/>
                  </w14:solidFill>
                </w14:textFill>
              </w:rPr>
            </w:pPr>
            <w:r>
              <w:rPr>
                <w:rFonts w:hint="eastAsia" w:ascii="宋体" w:hAnsi="宋体" w:eastAsia="宋体" w:cs="宋体"/>
                <w:b/>
                <w:bCs w:val="0"/>
                <w:color w:val="000000" w:themeColor="text1"/>
                <w:kern w:val="0"/>
                <w:sz w:val="18"/>
                <w:szCs w:val="18"/>
                <w14:textFill>
                  <w14:solidFill>
                    <w14:schemeClr w14:val="tx1"/>
                  </w14:solidFill>
                </w14:textFill>
              </w:rPr>
              <w:t>单位面积碳排放量（</w:t>
            </w:r>
            <w:r>
              <w:rPr>
                <w:rFonts w:hint="default" w:ascii="宋体" w:hAnsi="宋体" w:eastAsia="宋体" w:cs="宋体"/>
                <w:b/>
                <w:bCs w:val="0"/>
                <w:color w:val="000000" w:themeColor="text1"/>
                <w:kern w:val="0"/>
                <w:sz w:val="18"/>
                <w:szCs w:val="18"/>
                <w:lang w:val="en-US"/>
                <w14:textFill>
                  <w14:solidFill>
                    <w14:schemeClr w14:val="tx1"/>
                  </w14:solidFill>
                </w14:textFill>
              </w:rPr>
              <w:t>tCO2e</w:t>
            </w:r>
            <w:r>
              <w:rPr>
                <w:rFonts w:hint="eastAsia" w:ascii="宋体" w:hAnsi="宋体" w:eastAsia="宋体" w:cs="宋体"/>
                <w:b/>
                <w:bCs w:val="0"/>
                <w:color w:val="000000" w:themeColor="text1"/>
                <w:kern w:val="0"/>
                <w:sz w:val="18"/>
                <w:szCs w:val="18"/>
                <w14:textFill>
                  <w14:solidFill>
                    <w14:schemeClr w14:val="tx1"/>
                  </w14:solidFill>
                </w14:textFill>
              </w:rPr>
              <w:t>/平方米）</w:t>
            </w:r>
          </w:p>
        </w:tc>
        <w:tc>
          <w:tcPr>
            <w:tcW w:w="1375" w:type="dxa"/>
            <w:tcBorders>
              <w:top w:val="single" w:color="000000" w:sz="4" w:space="0"/>
              <w:left w:val="single" w:color="auto" w:sz="4" w:space="0"/>
              <w:bottom w:val="single" w:color="000000" w:sz="4" w:space="0"/>
              <w:right w:val="single" w:color="000000" w:sz="4" w:space="0"/>
            </w:tcBorders>
            <w:noWrap w:val="0"/>
            <w:vAlign w:val="center"/>
          </w:tcPr>
          <w:p>
            <w:pPr>
              <w:widowControl/>
              <w:spacing w:line="240" w:lineRule="auto"/>
              <w:ind w:firstLine="0" w:firstLineChars="0"/>
              <w:jc w:val="center"/>
              <w:rPr>
                <w:rFonts w:hint="eastAsia" w:ascii="宋体" w:hAnsi="宋体" w:eastAsia="宋体" w:cs="宋体"/>
                <w:b/>
                <w:bCs w:val="0"/>
                <w:color w:val="000000" w:themeColor="text1"/>
                <w:kern w:val="0"/>
                <w:sz w:val="18"/>
                <w:szCs w:val="18"/>
                <w14:textFill>
                  <w14:solidFill>
                    <w14:schemeClr w14:val="tx1"/>
                  </w14:solidFill>
                </w14:textFill>
              </w:rPr>
            </w:pPr>
            <w:r>
              <w:rPr>
                <w:rFonts w:hint="eastAsia" w:ascii="宋体" w:hAnsi="宋体" w:eastAsia="宋体" w:cs="宋体"/>
                <w:b/>
                <w:bCs w:val="0"/>
                <w:color w:val="000000" w:themeColor="text1"/>
                <w:kern w:val="0"/>
                <w:sz w:val="18"/>
                <w:szCs w:val="18"/>
                <w14:textFill>
                  <w14:solidFill>
                    <w14:schemeClr w14:val="tx1"/>
                  </w14:solidFill>
                </w14:textFill>
              </w:rPr>
              <w:t>碳排放量（</w:t>
            </w:r>
            <w:r>
              <w:rPr>
                <w:rFonts w:hint="default" w:ascii="宋体" w:hAnsi="宋体" w:eastAsia="宋体" w:cs="宋体"/>
                <w:b/>
                <w:bCs w:val="0"/>
                <w:color w:val="000000" w:themeColor="text1"/>
                <w:kern w:val="0"/>
                <w:sz w:val="18"/>
                <w:szCs w:val="18"/>
                <w:lang w:val="en-US"/>
                <w14:textFill>
                  <w14:solidFill>
                    <w14:schemeClr w14:val="tx1"/>
                  </w14:solidFill>
                </w14:textFill>
              </w:rPr>
              <w:t>tCO2e</w:t>
            </w:r>
            <w:r>
              <w:rPr>
                <w:rFonts w:hint="eastAsia" w:ascii="宋体" w:hAnsi="宋体" w:eastAsia="宋体" w:cs="宋体"/>
                <w:b/>
                <w:bCs w:val="0"/>
                <w:color w:val="000000" w:themeColor="text1"/>
                <w:kern w:val="0"/>
                <w:sz w:val="18"/>
                <w:szCs w:val="18"/>
                <w14:textFill>
                  <w14:solidFill>
                    <w14:schemeClr w14:val="tx1"/>
                  </w14:solidFill>
                </w14:textFill>
              </w:rPr>
              <w:t>）</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firstLine="0" w:firstLineChars="0"/>
              <w:jc w:val="center"/>
              <w:rPr>
                <w:rFonts w:hint="eastAsia" w:ascii="宋体" w:hAnsi="宋体" w:eastAsia="宋体" w:cs="宋体"/>
                <w:b/>
                <w:bCs w:val="0"/>
                <w:color w:val="000000" w:themeColor="text1"/>
                <w:kern w:val="0"/>
                <w:sz w:val="18"/>
                <w:szCs w:val="18"/>
                <w14:textFill>
                  <w14:solidFill>
                    <w14:schemeClr w14:val="tx1"/>
                  </w14:solidFill>
                </w14:textFill>
              </w:rPr>
            </w:pPr>
            <w:r>
              <w:rPr>
                <w:rFonts w:hint="eastAsia" w:ascii="宋体" w:hAnsi="宋体" w:eastAsia="宋体" w:cs="宋体"/>
                <w:b/>
                <w:bCs w:val="0"/>
                <w:color w:val="000000" w:themeColor="text1"/>
                <w:kern w:val="0"/>
                <w:sz w:val="18"/>
                <w:szCs w:val="18"/>
                <w14:textFill>
                  <w14:solidFill>
                    <w14:schemeClr w14:val="tx1"/>
                  </w14:solidFill>
                </w14:textFill>
              </w:rPr>
              <w:t>人均碳排放量（</w:t>
            </w:r>
            <w:r>
              <w:rPr>
                <w:rFonts w:hint="default" w:ascii="宋体" w:hAnsi="宋体" w:eastAsia="宋体" w:cs="宋体"/>
                <w:b/>
                <w:bCs w:val="0"/>
                <w:color w:val="000000" w:themeColor="text1"/>
                <w:kern w:val="0"/>
                <w:sz w:val="18"/>
                <w:szCs w:val="18"/>
                <w:lang w:val="en-US"/>
                <w14:textFill>
                  <w14:solidFill>
                    <w14:schemeClr w14:val="tx1"/>
                  </w14:solidFill>
                </w14:textFill>
              </w:rPr>
              <w:t>tCO2e</w:t>
            </w:r>
            <w:r>
              <w:rPr>
                <w:rFonts w:hint="eastAsia" w:ascii="宋体" w:hAnsi="宋体" w:eastAsia="宋体" w:cs="宋体"/>
                <w:b/>
                <w:bCs w:val="0"/>
                <w:color w:val="000000" w:themeColor="text1"/>
                <w:kern w:val="0"/>
                <w:sz w:val="18"/>
                <w:szCs w:val="18"/>
                <w14:textFill>
                  <w14:solidFill>
                    <w14:schemeClr w14:val="tx1"/>
                  </w14:solidFill>
                </w14:textFill>
              </w:rPr>
              <w:t>/人）</w:t>
            </w:r>
          </w:p>
        </w:tc>
        <w:tc>
          <w:tcPr>
            <w:tcW w:w="182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firstLine="0" w:firstLineChars="0"/>
              <w:jc w:val="center"/>
              <w:rPr>
                <w:rFonts w:hint="eastAsia" w:ascii="宋体" w:hAnsi="宋体" w:eastAsia="宋体" w:cs="宋体"/>
                <w:b/>
                <w:bCs w:val="0"/>
                <w:color w:val="000000" w:themeColor="text1"/>
                <w:kern w:val="0"/>
                <w:sz w:val="18"/>
                <w:szCs w:val="18"/>
                <w14:textFill>
                  <w14:solidFill>
                    <w14:schemeClr w14:val="tx1"/>
                  </w14:solidFill>
                </w14:textFill>
              </w:rPr>
            </w:pPr>
            <w:r>
              <w:rPr>
                <w:rFonts w:hint="eastAsia" w:ascii="宋体" w:hAnsi="宋体" w:eastAsia="宋体" w:cs="宋体"/>
                <w:b/>
                <w:bCs w:val="0"/>
                <w:color w:val="000000" w:themeColor="text1"/>
                <w:kern w:val="0"/>
                <w:sz w:val="18"/>
                <w:szCs w:val="18"/>
                <w14:textFill>
                  <w14:solidFill>
                    <w14:schemeClr w14:val="tx1"/>
                  </w14:solidFill>
                </w14:textFill>
              </w:rPr>
              <w:t>单位面积碳排放量（</w:t>
            </w:r>
            <w:r>
              <w:rPr>
                <w:rFonts w:hint="default" w:ascii="宋体" w:hAnsi="宋体" w:eastAsia="宋体" w:cs="宋体"/>
                <w:b/>
                <w:bCs w:val="0"/>
                <w:color w:val="000000" w:themeColor="text1"/>
                <w:kern w:val="0"/>
                <w:sz w:val="18"/>
                <w:szCs w:val="18"/>
                <w:lang w:val="en-US"/>
                <w14:textFill>
                  <w14:solidFill>
                    <w14:schemeClr w14:val="tx1"/>
                  </w14:solidFill>
                </w14:textFill>
              </w:rPr>
              <w:t>tCO2e</w:t>
            </w:r>
            <w:r>
              <w:rPr>
                <w:rFonts w:hint="eastAsia" w:ascii="宋体" w:hAnsi="宋体" w:eastAsia="宋体" w:cs="宋体"/>
                <w:b/>
                <w:bCs w:val="0"/>
                <w:color w:val="000000" w:themeColor="text1"/>
                <w:kern w:val="0"/>
                <w:sz w:val="18"/>
                <w:szCs w:val="18"/>
                <w14:textFill>
                  <w14:solidFill>
                    <w14:schemeClr w14:val="tx1"/>
                  </w14:solidFill>
                </w14:textFill>
              </w:rPr>
              <w:t>/平方米）</w:t>
            </w:r>
          </w:p>
        </w:tc>
      </w:tr>
      <w:tr>
        <w:tblPrEx>
          <w:tblCellMar>
            <w:top w:w="0" w:type="dxa"/>
            <w:left w:w="108" w:type="dxa"/>
            <w:bottom w:w="0" w:type="dxa"/>
            <w:right w:w="108" w:type="dxa"/>
          </w:tblCellMar>
        </w:tblPrEx>
        <w:trPr>
          <w:trHeight w:val="682" w:hRule="atLeast"/>
        </w:trPr>
        <w:tc>
          <w:tcPr>
            <w:tcW w:w="4563"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left"/>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其他间接温室气体排放（范围三（不含投资））</w:t>
            </w:r>
          </w:p>
        </w:tc>
        <w:tc>
          <w:tcPr>
            <w:tcW w:w="150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kern w:val="0"/>
                <w:sz w:val="20"/>
                <w:szCs w:val="20"/>
                <w:lang w:val="en-US" w:eastAsia="zh-CN"/>
              </w:rPr>
              <w:t>282.78175</w:t>
            </w:r>
          </w:p>
        </w:tc>
        <w:tc>
          <w:tcPr>
            <w:tcW w:w="159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kern w:val="0"/>
                <w:sz w:val="20"/>
                <w:szCs w:val="20"/>
                <w:lang w:val="en-US" w:eastAsia="zh-CN"/>
              </w:rPr>
              <w:t>0.32882</w:t>
            </w:r>
          </w:p>
        </w:tc>
        <w:tc>
          <w:tcPr>
            <w:tcW w:w="1829"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kern w:val="0"/>
                <w:sz w:val="20"/>
                <w:szCs w:val="20"/>
                <w:lang w:val="en-US" w:eastAsia="zh-CN"/>
              </w:rPr>
              <w:t>0.00321</w:t>
            </w:r>
          </w:p>
        </w:tc>
        <w:tc>
          <w:tcPr>
            <w:tcW w:w="137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kern w:val="0"/>
                <w:sz w:val="20"/>
                <w:szCs w:val="20"/>
                <w:lang w:val="en-US" w:eastAsia="zh-CN"/>
              </w:rPr>
              <w:t>261.59711</w:t>
            </w:r>
          </w:p>
        </w:tc>
        <w:tc>
          <w:tcPr>
            <w:tcW w:w="201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kern w:val="0"/>
                <w:sz w:val="20"/>
                <w:szCs w:val="20"/>
                <w:lang w:val="en-US" w:eastAsia="zh-CN"/>
              </w:rPr>
              <w:t>0.33581</w:t>
            </w:r>
          </w:p>
        </w:tc>
        <w:tc>
          <w:tcPr>
            <w:tcW w:w="182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kern w:val="0"/>
                <w:sz w:val="20"/>
                <w:szCs w:val="20"/>
                <w:lang w:val="en-US" w:eastAsia="zh-CN"/>
              </w:rPr>
              <w:t>0.00297</w:t>
            </w:r>
          </w:p>
        </w:tc>
      </w:tr>
      <w:tr>
        <w:tblPrEx>
          <w:tblCellMar>
            <w:top w:w="0" w:type="dxa"/>
            <w:left w:w="108" w:type="dxa"/>
            <w:bottom w:w="0" w:type="dxa"/>
            <w:right w:w="108" w:type="dxa"/>
          </w:tblCellMar>
        </w:tblPrEx>
        <w:trPr>
          <w:trHeight w:val="682" w:hRule="atLeast"/>
        </w:trPr>
        <w:tc>
          <w:tcPr>
            <w:tcW w:w="1829"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left"/>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上游排放</w:t>
            </w:r>
          </w:p>
        </w:tc>
        <w:tc>
          <w:tcPr>
            <w:tcW w:w="273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ind w:firstLine="360" w:firstLineChars="200"/>
              <w:jc w:val="center"/>
              <w:textAlignment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3.1购买商品与服务</w:t>
            </w:r>
          </w:p>
        </w:tc>
        <w:tc>
          <w:tcPr>
            <w:tcW w:w="150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kern w:val="0"/>
                <w:sz w:val="20"/>
                <w:szCs w:val="20"/>
                <w:lang w:val="en-US" w:eastAsia="zh-CN"/>
              </w:rPr>
              <w:t>224.89787</w:t>
            </w:r>
          </w:p>
        </w:tc>
        <w:tc>
          <w:tcPr>
            <w:tcW w:w="159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kern w:val="0"/>
                <w:sz w:val="20"/>
                <w:szCs w:val="20"/>
                <w:lang w:val="en-US" w:eastAsia="zh-CN"/>
              </w:rPr>
              <w:t>/</w:t>
            </w:r>
          </w:p>
        </w:tc>
        <w:tc>
          <w:tcPr>
            <w:tcW w:w="1829"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kern w:val="0"/>
                <w:sz w:val="20"/>
                <w:szCs w:val="20"/>
                <w:lang w:val="en-US" w:eastAsia="zh-CN"/>
              </w:rPr>
              <w:t>/</w:t>
            </w:r>
          </w:p>
        </w:tc>
        <w:tc>
          <w:tcPr>
            <w:tcW w:w="137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kern w:val="0"/>
                <w:sz w:val="20"/>
                <w:szCs w:val="20"/>
                <w:lang w:val="en-US" w:eastAsia="zh-CN"/>
              </w:rPr>
              <w:t>201.05585</w:t>
            </w:r>
          </w:p>
        </w:tc>
        <w:tc>
          <w:tcPr>
            <w:tcW w:w="201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kern w:val="0"/>
                <w:sz w:val="20"/>
                <w:szCs w:val="20"/>
                <w:lang w:val="en-US" w:eastAsia="zh-CN"/>
              </w:rPr>
              <w:t>/</w:t>
            </w:r>
          </w:p>
        </w:tc>
        <w:tc>
          <w:tcPr>
            <w:tcW w:w="182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kern w:val="0"/>
                <w:sz w:val="20"/>
                <w:szCs w:val="20"/>
                <w:lang w:val="en-US" w:eastAsia="zh-CN"/>
              </w:rPr>
              <w:t>/</w:t>
            </w:r>
          </w:p>
        </w:tc>
      </w:tr>
      <w:tr>
        <w:tblPrEx>
          <w:tblCellMar>
            <w:top w:w="0" w:type="dxa"/>
            <w:left w:w="108" w:type="dxa"/>
            <w:bottom w:w="0" w:type="dxa"/>
            <w:right w:w="108" w:type="dxa"/>
          </w:tblCellMar>
        </w:tblPrEx>
        <w:trPr>
          <w:trHeight w:val="682" w:hRule="atLeast"/>
        </w:trPr>
        <w:tc>
          <w:tcPr>
            <w:tcW w:w="1829"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left"/>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上游排放</w:t>
            </w:r>
          </w:p>
        </w:tc>
        <w:tc>
          <w:tcPr>
            <w:tcW w:w="273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ind w:firstLine="360" w:firstLineChars="200"/>
              <w:jc w:val="center"/>
              <w:textAlignment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3.2资本商品</w:t>
            </w:r>
          </w:p>
        </w:tc>
        <w:tc>
          <w:tcPr>
            <w:tcW w:w="150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kern w:val="0"/>
                <w:sz w:val="20"/>
                <w:szCs w:val="20"/>
                <w:lang w:val="en-US" w:eastAsia="zh-CN"/>
              </w:rPr>
              <w:t>0</w:t>
            </w:r>
          </w:p>
        </w:tc>
        <w:tc>
          <w:tcPr>
            <w:tcW w:w="159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kern w:val="0"/>
                <w:sz w:val="20"/>
                <w:szCs w:val="20"/>
                <w:lang w:val="en-US" w:eastAsia="zh-CN"/>
              </w:rPr>
              <w:t>/</w:t>
            </w:r>
          </w:p>
        </w:tc>
        <w:tc>
          <w:tcPr>
            <w:tcW w:w="1829"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kern w:val="0"/>
                <w:sz w:val="20"/>
                <w:szCs w:val="20"/>
                <w:lang w:val="en-US" w:eastAsia="zh-CN"/>
              </w:rPr>
              <w:t>/</w:t>
            </w:r>
          </w:p>
        </w:tc>
        <w:tc>
          <w:tcPr>
            <w:tcW w:w="137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kern w:val="0"/>
                <w:sz w:val="20"/>
                <w:szCs w:val="20"/>
                <w:lang w:val="en-US" w:eastAsia="zh-CN"/>
              </w:rPr>
              <w:t>0</w:t>
            </w:r>
          </w:p>
        </w:tc>
        <w:tc>
          <w:tcPr>
            <w:tcW w:w="201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kern w:val="0"/>
                <w:sz w:val="20"/>
                <w:szCs w:val="20"/>
                <w:lang w:val="en-US" w:eastAsia="zh-CN"/>
              </w:rPr>
              <w:t>/</w:t>
            </w:r>
          </w:p>
        </w:tc>
        <w:tc>
          <w:tcPr>
            <w:tcW w:w="182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kern w:val="0"/>
                <w:sz w:val="20"/>
                <w:szCs w:val="20"/>
                <w:lang w:val="en-US" w:eastAsia="zh-CN"/>
              </w:rPr>
              <w:t>/</w:t>
            </w:r>
          </w:p>
        </w:tc>
      </w:tr>
      <w:tr>
        <w:tblPrEx>
          <w:tblCellMar>
            <w:top w:w="0" w:type="dxa"/>
            <w:left w:w="108" w:type="dxa"/>
            <w:bottom w:w="0" w:type="dxa"/>
            <w:right w:w="108" w:type="dxa"/>
          </w:tblCellMar>
        </w:tblPrEx>
        <w:trPr>
          <w:trHeight w:val="682" w:hRule="atLeast"/>
        </w:trPr>
        <w:tc>
          <w:tcPr>
            <w:tcW w:w="1829"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left"/>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上游排放</w:t>
            </w:r>
          </w:p>
        </w:tc>
        <w:tc>
          <w:tcPr>
            <w:tcW w:w="273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ind w:firstLine="360" w:firstLineChars="200"/>
              <w:jc w:val="center"/>
              <w:textAlignment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3.3范围一、二中未包含的燃料和能源相关活动</w:t>
            </w:r>
          </w:p>
        </w:tc>
        <w:tc>
          <w:tcPr>
            <w:tcW w:w="150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kern w:val="0"/>
                <w:sz w:val="20"/>
                <w:szCs w:val="20"/>
                <w:lang w:val="en-US" w:eastAsia="zh-CN"/>
              </w:rPr>
              <w:t>0</w:t>
            </w:r>
          </w:p>
        </w:tc>
        <w:tc>
          <w:tcPr>
            <w:tcW w:w="159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kern w:val="0"/>
                <w:sz w:val="20"/>
                <w:szCs w:val="20"/>
                <w:lang w:val="en-US" w:eastAsia="zh-CN"/>
              </w:rPr>
              <w:t>/</w:t>
            </w:r>
          </w:p>
        </w:tc>
        <w:tc>
          <w:tcPr>
            <w:tcW w:w="1829"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kern w:val="0"/>
                <w:sz w:val="20"/>
                <w:szCs w:val="20"/>
                <w:lang w:val="en-US" w:eastAsia="zh-CN"/>
              </w:rPr>
              <w:t>/</w:t>
            </w:r>
          </w:p>
        </w:tc>
        <w:tc>
          <w:tcPr>
            <w:tcW w:w="137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kern w:val="0"/>
                <w:sz w:val="20"/>
                <w:szCs w:val="20"/>
                <w:lang w:val="en-US" w:eastAsia="zh-CN"/>
              </w:rPr>
              <w:t>0</w:t>
            </w:r>
          </w:p>
        </w:tc>
        <w:tc>
          <w:tcPr>
            <w:tcW w:w="201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kern w:val="0"/>
                <w:sz w:val="20"/>
                <w:szCs w:val="20"/>
                <w:lang w:val="en-US" w:eastAsia="zh-CN"/>
              </w:rPr>
              <w:t>/</w:t>
            </w:r>
          </w:p>
        </w:tc>
        <w:tc>
          <w:tcPr>
            <w:tcW w:w="182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kern w:val="0"/>
                <w:sz w:val="20"/>
                <w:szCs w:val="20"/>
                <w:lang w:val="en-US" w:eastAsia="zh-CN"/>
              </w:rPr>
              <w:t>/</w:t>
            </w:r>
          </w:p>
        </w:tc>
      </w:tr>
      <w:tr>
        <w:tblPrEx>
          <w:tblCellMar>
            <w:top w:w="0" w:type="dxa"/>
            <w:left w:w="108" w:type="dxa"/>
            <w:bottom w:w="0" w:type="dxa"/>
            <w:right w:w="108" w:type="dxa"/>
          </w:tblCellMar>
        </w:tblPrEx>
        <w:trPr>
          <w:trHeight w:val="682" w:hRule="atLeast"/>
        </w:trPr>
        <w:tc>
          <w:tcPr>
            <w:tcW w:w="1829"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left"/>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上游排放</w:t>
            </w:r>
          </w:p>
        </w:tc>
        <w:tc>
          <w:tcPr>
            <w:tcW w:w="273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ind w:firstLine="360" w:firstLineChars="200"/>
              <w:jc w:val="center"/>
              <w:textAlignment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3.4上游运输和配送</w:t>
            </w:r>
          </w:p>
        </w:tc>
        <w:tc>
          <w:tcPr>
            <w:tcW w:w="150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kern w:val="0"/>
                <w:sz w:val="20"/>
                <w:szCs w:val="20"/>
                <w:lang w:val="en-US" w:eastAsia="zh-CN"/>
              </w:rPr>
              <w:t>4.98</w:t>
            </w:r>
          </w:p>
        </w:tc>
        <w:tc>
          <w:tcPr>
            <w:tcW w:w="159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kern w:val="0"/>
                <w:sz w:val="20"/>
                <w:szCs w:val="20"/>
                <w:lang w:val="en-US" w:eastAsia="zh-CN"/>
              </w:rPr>
              <w:t>/</w:t>
            </w:r>
          </w:p>
        </w:tc>
        <w:tc>
          <w:tcPr>
            <w:tcW w:w="1829"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kern w:val="0"/>
                <w:sz w:val="20"/>
                <w:szCs w:val="20"/>
                <w:lang w:val="en-US" w:eastAsia="zh-CN"/>
              </w:rPr>
              <w:t>/</w:t>
            </w:r>
          </w:p>
        </w:tc>
        <w:tc>
          <w:tcPr>
            <w:tcW w:w="137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kern w:val="0"/>
                <w:sz w:val="20"/>
                <w:szCs w:val="20"/>
                <w:lang w:val="en-US" w:eastAsia="zh-CN"/>
              </w:rPr>
              <w:t>4.897</w:t>
            </w:r>
          </w:p>
        </w:tc>
        <w:tc>
          <w:tcPr>
            <w:tcW w:w="201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kern w:val="0"/>
                <w:sz w:val="20"/>
                <w:szCs w:val="20"/>
                <w:lang w:val="en-US" w:eastAsia="zh-CN"/>
              </w:rPr>
              <w:t>/</w:t>
            </w:r>
          </w:p>
        </w:tc>
        <w:tc>
          <w:tcPr>
            <w:tcW w:w="182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kern w:val="0"/>
                <w:sz w:val="20"/>
                <w:szCs w:val="20"/>
                <w:lang w:val="en-US" w:eastAsia="zh-CN"/>
              </w:rPr>
              <w:t>/</w:t>
            </w:r>
          </w:p>
        </w:tc>
      </w:tr>
      <w:tr>
        <w:tblPrEx>
          <w:tblCellMar>
            <w:top w:w="0" w:type="dxa"/>
            <w:left w:w="108" w:type="dxa"/>
            <w:bottom w:w="0" w:type="dxa"/>
            <w:right w:w="108" w:type="dxa"/>
          </w:tblCellMar>
        </w:tblPrEx>
        <w:trPr>
          <w:trHeight w:val="682" w:hRule="atLeast"/>
        </w:trPr>
        <w:tc>
          <w:tcPr>
            <w:tcW w:w="1829"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left"/>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上游排放</w:t>
            </w:r>
          </w:p>
        </w:tc>
        <w:tc>
          <w:tcPr>
            <w:tcW w:w="273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ind w:firstLine="360" w:firstLineChars="200"/>
              <w:jc w:val="center"/>
              <w:textAlignment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3.5运营中产生的废物</w:t>
            </w:r>
          </w:p>
        </w:tc>
        <w:tc>
          <w:tcPr>
            <w:tcW w:w="150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kern w:val="0"/>
                <w:sz w:val="20"/>
                <w:szCs w:val="20"/>
                <w:lang w:val="en-US" w:eastAsia="zh-CN"/>
              </w:rPr>
              <w:t>2.49697</w:t>
            </w:r>
          </w:p>
        </w:tc>
        <w:tc>
          <w:tcPr>
            <w:tcW w:w="159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kern w:val="0"/>
                <w:sz w:val="20"/>
                <w:szCs w:val="20"/>
                <w:lang w:val="en-US" w:eastAsia="zh-CN"/>
              </w:rPr>
              <w:t>/</w:t>
            </w:r>
          </w:p>
        </w:tc>
        <w:tc>
          <w:tcPr>
            <w:tcW w:w="1829"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kern w:val="0"/>
                <w:sz w:val="20"/>
                <w:szCs w:val="20"/>
                <w:lang w:val="en-US" w:eastAsia="zh-CN"/>
              </w:rPr>
              <w:t>/</w:t>
            </w:r>
          </w:p>
        </w:tc>
        <w:tc>
          <w:tcPr>
            <w:tcW w:w="137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kern w:val="0"/>
                <w:sz w:val="20"/>
                <w:szCs w:val="20"/>
                <w:lang w:val="en-US" w:eastAsia="zh-CN"/>
              </w:rPr>
              <w:t>2.85283</w:t>
            </w:r>
          </w:p>
        </w:tc>
        <w:tc>
          <w:tcPr>
            <w:tcW w:w="201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kern w:val="0"/>
                <w:sz w:val="20"/>
                <w:szCs w:val="20"/>
                <w:lang w:val="en-US" w:eastAsia="zh-CN"/>
              </w:rPr>
              <w:t>/</w:t>
            </w:r>
          </w:p>
        </w:tc>
        <w:tc>
          <w:tcPr>
            <w:tcW w:w="182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kern w:val="0"/>
                <w:sz w:val="20"/>
                <w:szCs w:val="20"/>
                <w:lang w:val="en-US" w:eastAsia="zh-CN"/>
              </w:rPr>
              <w:t>/</w:t>
            </w:r>
          </w:p>
        </w:tc>
      </w:tr>
      <w:tr>
        <w:tblPrEx>
          <w:tblCellMar>
            <w:top w:w="0" w:type="dxa"/>
            <w:left w:w="108" w:type="dxa"/>
            <w:bottom w:w="0" w:type="dxa"/>
            <w:right w:w="108" w:type="dxa"/>
          </w:tblCellMar>
        </w:tblPrEx>
        <w:trPr>
          <w:trHeight w:val="682" w:hRule="atLeast"/>
        </w:trPr>
        <w:tc>
          <w:tcPr>
            <w:tcW w:w="1829"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left"/>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上游排放</w:t>
            </w:r>
          </w:p>
        </w:tc>
        <w:tc>
          <w:tcPr>
            <w:tcW w:w="273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ind w:firstLine="360" w:firstLineChars="200"/>
              <w:jc w:val="center"/>
              <w:textAlignment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3.6 差旅</w:t>
            </w:r>
          </w:p>
        </w:tc>
        <w:tc>
          <w:tcPr>
            <w:tcW w:w="150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kern w:val="0"/>
                <w:sz w:val="20"/>
                <w:szCs w:val="20"/>
                <w:lang w:val="en-US" w:eastAsia="zh-CN"/>
              </w:rPr>
              <w:t>20.72691</w:t>
            </w:r>
          </w:p>
        </w:tc>
        <w:tc>
          <w:tcPr>
            <w:tcW w:w="159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kern w:val="0"/>
                <w:sz w:val="20"/>
                <w:szCs w:val="20"/>
                <w:lang w:val="en-US" w:eastAsia="zh-CN"/>
              </w:rPr>
              <w:t>/</w:t>
            </w:r>
          </w:p>
        </w:tc>
        <w:tc>
          <w:tcPr>
            <w:tcW w:w="1829"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kern w:val="0"/>
                <w:sz w:val="20"/>
                <w:szCs w:val="20"/>
                <w:lang w:val="en-US" w:eastAsia="zh-CN"/>
              </w:rPr>
              <w:t>/</w:t>
            </w:r>
          </w:p>
        </w:tc>
        <w:tc>
          <w:tcPr>
            <w:tcW w:w="137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kern w:val="0"/>
                <w:sz w:val="20"/>
                <w:szCs w:val="20"/>
                <w:lang w:val="en-US" w:eastAsia="zh-CN"/>
              </w:rPr>
              <w:t>20.91413</w:t>
            </w:r>
          </w:p>
        </w:tc>
        <w:tc>
          <w:tcPr>
            <w:tcW w:w="201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kern w:val="0"/>
                <w:sz w:val="20"/>
                <w:szCs w:val="20"/>
                <w:lang w:val="en-US" w:eastAsia="zh-CN"/>
              </w:rPr>
              <w:t>/</w:t>
            </w:r>
          </w:p>
        </w:tc>
        <w:tc>
          <w:tcPr>
            <w:tcW w:w="182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kern w:val="0"/>
                <w:sz w:val="20"/>
                <w:szCs w:val="20"/>
                <w:lang w:val="en-US" w:eastAsia="zh-CN"/>
              </w:rPr>
              <w:t>/</w:t>
            </w:r>
          </w:p>
        </w:tc>
      </w:tr>
      <w:tr>
        <w:tblPrEx>
          <w:tblCellMar>
            <w:top w:w="0" w:type="dxa"/>
            <w:left w:w="108" w:type="dxa"/>
            <w:bottom w:w="0" w:type="dxa"/>
            <w:right w:w="108" w:type="dxa"/>
          </w:tblCellMar>
        </w:tblPrEx>
        <w:trPr>
          <w:trHeight w:val="682" w:hRule="atLeast"/>
        </w:trPr>
        <w:tc>
          <w:tcPr>
            <w:tcW w:w="1829"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left"/>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上游排放</w:t>
            </w:r>
          </w:p>
        </w:tc>
        <w:tc>
          <w:tcPr>
            <w:tcW w:w="273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ind w:firstLine="360" w:firstLineChars="200"/>
              <w:jc w:val="center"/>
              <w:textAlignment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3.7 员工通勤</w:t>
            </w:r>
          </w:p>
        </w:tc>
        <w:tc>
          <w:tcPr>
            <w:tcW w:w="150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kern w:val="0"/>
                <w:sz w:val="20"/>
                <w:szCs w:val="20"/>
                <w:lang w:val="en-US" w:eastAsia="zh-CN"/>
              </w:rPr>
              <w:t>29.68</w:t>
            </w:r>
          </w:p>
        </w:tc>
        <w:tc>
          <w:tcPr>
            <w:tcW w:w="159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kern w:val="0"/>
                <w:sz w:val="20"/>
                <w:szCs w:val="20"/>
                <w:lang w:val="en-US" w:eastAsia="zh-CN"/>
              </w:rPr>
              <w:t>/</w:t>
            </w:r>
          </w:p>
        </w:tc>
        <w:tc>
          <w:tcPr>
            <w:tcW w:w="1829"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kern w:val="0"/>
                <w:sz w:val="20"/>
                <w:szCs w:val="20"/>
                <w:lang w:val="en-US" w:eastAsia="zh-CN"/>
              </w:rPr>
              <w:t>/</w:t>
            </w:r>
          </w:p>
        </w:tc>
        <w:tc>
          <w:tcPr>
            <w:tcW w:w="137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kern w:val="0"/>
                <w:sz w:val="20"/>
                <w:szCs w:val="20"/>
                <w:lang w:val="en-US" w:eastAsia="zh-CN"/>
              </w:rPr>
              <w:t>31.8773</w:t>
            </w:r>
          </w:p>
        </w:tc>
        <w:tc>
          <w:tcPr>
            <w:tcW w:w="201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kern w:val="0"/>
                <w:sz w:val="20"/>
                <w:szCs w:val="20"/>
                <w:lang w:val="en-US" w:eastAsia="zh-CN"/>
              </w:rPr>
              <w:t>/</w:t>
            </w:r>
          </w:p>
        </w:tc>
        <w:tc>
          <w:tcPr>
            <w:tcW w:w="182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kern w:val="0"/>
                <w:sz w:val="20"/>
                <w:szCs w:val="20"/>
                <w:lang w:val="en-US" w:eastAsia="zh-CN"/>
              </w:rPr>
              <w:t>/</w:t>
            </w:r>
          </w:p>
        </w:tc>
      </w:tr>
      <w:tr>
        <w:tblPrEx>
          <w:tblCellMar>
            <w:top w:w="0" w:type="dxa"/>
            <w:left w:w="108" w:type="dxa"/>
            <w:bottom w:w="0" w:type="dxa"/>
            <w:right w:w="108" w:type="dxa"/>
          </w:tblCellMar>
        </w:tblPrEx>
        <w:trPr>
          <w:trHeight w:val="682" w:hRule="atLeast"/>
        </w:trPr>
        <w:tc>
          <w:tcPr>
            <w:tcW w:w="1829"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left"/>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上游排放</w:t>
            </w:r>
          </w:p>
        </w:tc>
        <w:tc>
          <w:tcPr>
            <w:tcW w:w="273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ind w:firstLine="360" w:firstLineChars="200"/>
              <w:jc w:val="center"/>
              <w:textAlignment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3.8上游租赁资产</w:t>
            </w:r>
          </w:p>
        </w:tc>
        <w:tc>
          <w:tcPr>
            <w:tcW w:w="150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kern w:val="0"/>
                <w:sz w:val="20"/>
                <w:szCs w:val="20"/>
                <w:lang w:val="en-US" w:eastAsia="zh-CN"/>
              </w:rPr>
              <w:t>0</w:t>
            </w:r>
          </w:p>
        </w:tc>
        <w:tc>
          <w:tcPr>
            <w:tcW w:w="159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kern w:val="0"/>
                <w:sz w:val="20"/>
                <w:szCs w:val="20"/>
                <w:lang w:val="en-US" w:eastAsia="zh-CN"/>
              </w:rPr>
              <w:t>/</w:t>
            </w:r>
          </w:p>
        </w:tc>
        <w:tc>
          <w:tcPr>
            <w:tcW w:w="1829"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kern w:val="0"/>
                <w:sz w:val="20"/>
                <w:szCs w:val="20"/>
                <w:lang w:val="en-US" w:eastAsia="zh-CN"/>
              </w:rPr>
              <w:t>/</w:t>
            </w:r>
          </w:p>
        </w:tc>
        <w:tc>
          <w:tcPr>
            <w:tcW w:w="137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kern w:val="0"/>
                <w:sz w:val="20"/>
                <w:szCs w:val="20"/>
                <w:lang w:val="en-US" w:eastAsia="zh-CN"/>
              </w:rPr>
              <w:t>0</w:t>
            </w:r>
          </w:p>
        </w:tc>
        <w:tc>
          <w:tcPr>
            <w:tcW w:w="201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kern w:val="0"/>
                <w:sz w:val="20"/>
                <w:szCs w:val="20"/>
                <w:lang w:val="en-US" w:eastAsia="zh-CN"/>
              </w:rPr>
              <w:t>/</w:t>
            </w:r>
          </w:p>
        </w:tc>
        <w:tc>
          <w:tcPr>
            <w:tcW w:w="182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kern w:val="0"/>
                <w:sz w:val="20"/>
                <w:szCs w:val="20"/>
                <w:lang w:val="en-US" w:eastAsia="zh-CN"/>
              </w:rPr>
              <w:t>/</w:t>
            </w:r>
          </w:p>
        </w:tc>
      </w:tr>
    </w:tbl>
    <w:p>
      <w:pPr>
        <w:ind w:firstLine="640"/>
        <w:rPr>
          <w:rFonts w:hint="eastAsia" w:ascii="宋体" w:hAnsi="宋体" w:eastAsia="宋体" w:cs="宋体"/>
          <w:b w:val="0"/>
          <w:bCs/>
          <w:color w:val="000000" w:themeColor="text1"/>
          <w14:textFill>
            <w14:solidFill>
              <w14:schemeClr w14:val="tx1"/>
            </w14:solidFill>
          </w14:textFill>
        </w:rPr>
        <w:sectPr>
          <w:footerReference r:id="rId17" w:type="first"/>
          <w:footerReference r:id="rId16" w:type="default"/>
          <w:pgSz w:w="16838" w:h="11906" w:orient="landscape"/>
          <w:pgMar w:top="1480" w:right="1440" w:bottom="1146" w:left="1440" w:header="851" w:footer="992" w:gutter="0"/>
          <w:pgBorders>
            <w:top w:val="none" w:sz="0" w:space="0"/>
            <w:left w:val="none" w:sz="0" w:space="0"/>
            <w:bottom w:val="none" w:sz="0" w:space="0"/>
            <w:right w:val="none" w:sz="0" w:space="0"/>
          </w:pgBorders>
          <w:pgNumType w:fmt="decimal"/>
          <w:cols w:space="720" w:num="1"/>
          <w:titlePg/>
          <w:docGrid w:type="lines" w:linePitch="435" w:charSpace="0"/>
        </w:sectPr>
      </w:pPr>
    </w:p>
    <w:p>
      <w:pPr>
        <w:keepNext w:val="0"/>
        <w:keepLines w:val="0"/>
        <w:pageBreakBefore w:val="0"/>
        <w:widowControl/>
        <w:numPr>
          <w:ilvl w:val="0"/>
          <w:numId w:val="0"/>
        </w:numPr>
        <w:kinsoku/>
        <w:wordWrap/>
        <w:overflowPunct/>
        <w:topLinePunct w:val="0"/>
        <w:autoSpaceDE w:val="0"/>
        <w:autoSpaceDN w:val="0"/>
        <w:bidi w:val="0"/>
        <w:adjustRightInd w:val="0"/>
        <w:snapToGrid w:val="0"/>
        <w:spacing w:before="149" w:beforeLines="50" w:line="240" w:lineRule="auto"/>
        <w:ind w:left="0" w:leftChars="0" w:firstLine="0" w:firstLineChars="0"/>
        <w:textAlignment w:val="baseline"/>
        <w:outlineLvl w:val="0"/>
        <w:rPr>
          <w:rFonts w:hint="eastAsia" w:ascii="微软雅黑" w:hAnsi="微软雅黑" w:eastAsia="微软雅黑" w:cs="微软雅黑"/>
          <w:b w:val="0"/>
          <w:bCs/>
          <w:color w:val="000000" w:themeColor="text1"/>
          <w:kern w:val="2"/>
          <w:sz w:val="28"/>
          <w:szCs w:val="28"/>
          <w:lang w:val="en-US" w:eastAsia="zh-CN" w:bidi="ar-SA"/>
          <w14:textFill>
            <w14:solidFill>
              <w14:schemeClr w14:val="tx1"/>
            </w14:solidFill>
          </w14:textFill>
        </w:rPr>
      </w:pPr>
      <w:bookmarkStart w:id="27" w:name="_Toc28116"/>
      <w:bookmarkStart w:id="28" w:name="_Toc156994198"/>
      <w:r>
        <w:rPr>
          <w:rFonts w:hint="eastAsia" w:ascii="微软雅黑" w:hAnsi="微软雅黑" w:eastAsia="微软雅黑" w:cs="微软雅黑"/>
          <w:b w:val="0"/>
          <w:bCs/>
          <w:color w:val="000000" w:themeColor="text1"/>
          <w:kern w:val="2"/>
          <w:sz w:val="28"/>
          <w:szCs w:val="28"/>
          <w:lang w:val="en-US" w:eastAsia="zh-CN" w:bidi="ar-SA"/>
          <w14:textFill>
            <w14:solidFill>
              <w14:schemeClr w14:val="tx1"/>
            </w14:solidFill>
          </w14:textFill>
        </w:rPr>
        <w:t>6.3 自身经营的碳减排</w:t>
      </w:r>
      <w:bookmarkEnd w:id="27"/>
    </w:p>
    <w:p>
      <w:pPr>
        <w:pageBreakBefore w:val="0"/>
        <w:widowControl/>
        <w:kinsoku w:val="0"/>
        <w:wordWrap/>
        <w:topLinePunct w:val="0"/>
        <w:autoSpaceDE w:val="0"/>
        <w:autoSpaceDN w:val="0"/>
        <w:bidi w:val="0"/>
        <w:adjustRightInd w:val="0"/>
        <w:snapToGrid w:val="0"/>
        <w:spacing w:before="149" w:beforeLines="50" w:line="240" w:lineRule="auto"/>
        <w:ind w:firstLine="480" w:firstLineChars="200"/>
        <w:textAlignment w:val="baseline"/>
        <w:outlineLvl w:val="2"/>
        <w:rPr>
          <w:rFonts w:hint="eastAsia" w:ascii="微软雅黑" w:hAnsi="微软雅黑" w:eastAsia="微软雅黑" w:cs="微软雅黑"/>
          <w:b w:val="0"/>
          <w:bCs/>
          <w:color w:val="000000" w:themeColor="text1"/>
          <w:kern w:val="2"/>
          <w:sz w:val="24"/>
          <w:szCs w:val="24"/>
          <w:lang w:val="en-US" w:eastAsia="zh-CN" w:bidi="ar-SA"/>
          <w14:textFill>
            <w14:solidFill>
              <w14:schemeClr w14:val="tx1"/>
            </w14:solidFill>
          </w14:textFill>
        </w:rPr>
      </w:pPr>
      <w:r>
        <w:rPr>
          <w:rFonts w:hint="eastAsia" w:ascii="微软雅黑" w:hAnsi="微软雅黑" w:eastAsia="微软雅黑" w:cs="微软雅黑"/>
          <w:b w:val="0"/>
          <w:bCs/>
          <w:color w:val="000000" w:themeColor="text1"/>
          <w:kern w:val="2"/>
          <w:sz w:val="24"/>
          <w:szCs w:val="24"/>
          <w:lang w:val="en-US" w:eastAsia="zh-CN" w:bidi="ar-SA"/>
          <w14:textFill>
            <w14:solidFill>
              <w14:schemeClr w14:val="tx1"/>
            </w14:solidFill>
          </w14:textFill>
        </w:rPr>
        <w:t>6.3.1节能减排措施:</w:t>
      </w:r>
    </w:p>
    <w:p>
      <w:pPr>
        <w:keepNext w:val="0"/>
        <w:keepLines w:val="0"/>
        <w:pageBreakBefore w:val="0"/>
        <w:widowControl/>
        <w:kinsoku/>
        <w:wordWrap/>
        <w:overflowPunct/>
        <w:topLinePunct w:val="0"/>
        <w:autoSpaceDE w:val="0"/>
        <w:autoSpaceDN w:val="0"/>
        <w:bidi w:val="0"/>
        <w:adjustRightInd w:val="0"/>
        <w:snapToGrid w:val="0"/>
        <w:spacing w:before="217" w:beforeLines="50" w:line="240" w:lineRule="auto"/>
        <w:ind w:firstLine="504" w:firstLineChars="200"/>
        <w:textAlignment w:val="baseline"/>
        <w:outlineLvl w:val="3"/>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pPr>
      <w:r>
        <w:rPr>
          <w:rFonts w:hint="eastAsia"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（1）</w:t>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节能降耗</w:t>
      </w:r>
    </w:p>
    <w:p>
      <w:pPr>
        <w:keepNext w:val="0"/>
        <w:keepLines w:val="0"/>
        <w:pageBreakBefore w:val="0"/>
        <w:widowControl/>
        <w:kinsoku/>
        <w:wordWrap/>
        <w:overflowPunct/>
        <w:topLinePunct w:val="0"/>
        <w:autoSpaceDE w:val="0"/>
        <w:autoSpaceDN w:val="0"/>
        <w:bidi w:val="0"/>
        <w:adjustRightInd w:val="0"/>
        <w:snapToGrid w:val="0"/>
        <w:spacing w:before="217" w:beforeLines="50" w:line="240" w:lineRule="auto"/>
        <w:ind w:firstLine="504"/>
        <w:textAlignment w:val="baseline"/>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pP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加强日常节能管理。 严格落实总行大楼日常巡检制度，每日下班前对办公电器、供水设施、空调系统等进行全面检查，确保人走电断、水阀关严，从源头杜绝能源浪费。常态化开展设备维护保养，优化空调运行模式，严控非必要用电，切实降低待机能耗。</w:t>
      </w:r>
    </w:p>
    <w:p>
      <w:pPr>
        <w:keepNext w:val="0"/>
        <w:keepLines w:val="0"/>
        <w:pageBreakBefore w:val="0"/>
        <w:widowControl/>
        <w:kinsoku/>
        <w:wordWrap/>
        <w:overflowPunct/>
        <w:topLinePunct w:val="0"/>
        <w:autoSpaceDE w:val="0"/>
        <w:autoSpaceDN w:val="0"/>
        <w:bidi w:val="0"/>
        <w:adjustRightInd w:val="0"/>
        <w:snapToGrid w:val="0"/>
        <w:spacing w:before="217" w:beforeLines="50" w:line="240" w:lineRule="auto"/>
        <w:ind w:firstLine="504"/>
        <w:textAlignment w:val="baseline"/>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pP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规范公务用车管理。 规范公务用车使用管理，科学统筹出行安排，减少车辆空驶与重复出行，倡导绿色低碳出行方式。</w:t>
      </w:r>
    </w:p>
    <w:p>
      <w:pPr>
        <w:keepNext w:val="0"/>
        <w:keepLines w:val="0"/>
        <w:pageBreakBefore w:val="0"/>
        <w:widowControl/>
        <w:kinsoku/>
        <w:wordWrap/>
        <w:overflowPunct/>
        <w:topLinePunct w:val="0"/>
        <w:autoSpaceDE w:val="0"/>
        <w:autoSpaceDN w:val="0"/>
        <w:bidi w:val="0"/>
        <w:adjustRightInd w:val="0"/>
        <w:snapToGrid w:val="0"/>
        <w:spacing w:before="217" w:beforeLines="50" w:line="240" w:lineRule="auto"/>
        <w:ind w:firstLine="504"/>
        <w:textAlignment w:val="baseline"/>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pP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深化绿色采购机制。 优先选用节能高效、环保低碳的办公设备、装饰材料及日常用品。</w:t>
      </w:r>
    </w:p>
    <w:p>
      <w:pPr>
        <w:keepNext w:val="0"/>
        <w:keepLines w:val="0"/>
        <w:pageBreakBefore w:val="0"/>
        <w:widowControl/>
        <w:kinsoku/>
        <w:wordWrap/>
        <w:overflowPunct/>
        <w:topLinePunct w:val="0"/>
        <w:autoSpaceDE w:val="0"/>
        <w:autoSpaceDN w:val="0"/>
        <w:bidi w:val="0"/>
        <w:adjustRightInd w:val="0"/>
        <w:snapToGrid w:val="0"/>
        <w:spacing w:before="217" w:beforeLines="50" w:line="240" w:lineRule="auto"/>
        <w:ind w:firstLine="504" w:firstLineChars="200"/>
        <w:textAlignment w:val="baseline"/>
        <w:outlineLvl w:val="3"/>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pPr>
      <w:r>
        <w:rPr>
          <w:rFonts w:hint="eastAsia"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（2）</w:t>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节水管理</w:t>
      </w:r>
    </w:p>
    <w:p>
      <w:pPr>
        <w:keepNext w:val="0"/>
        <w:keepLines w:val="0"/>
        <w:pageBreakBefore w:val="0"/>
        <w:widowControl/>
        <w:kinsoku/>
        <w:wordWrap/>
        <w:overflowPunct/>
        <w:topLinePunct w:val="0"/>
        <w:autoSpaceDE w:val="0"/>
        <w:autoSpaceDN w:val="0"/>
        <w:bidi w:val="0"/>
        <w:adjustRightInd w:val="0"/>
        <w:snapToGrid w:val="0"/>
        <w:spacing w:before="217" w:beforeLines="50" w:line="240" w:lineRule="auto"/>
        <w:ind w:firstLine="504"/>
        <w:textAlignment w:val="baseline"/>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pP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本行通过日常巡检制度，严格落实供水设施的检查与管理，每日下班前对供水设施进行全面检查，确保水阀关严，有效防止水资源浪费。</w:t>
      </w:r>
    </w:p>
    <w:p>
      <w:pPr>
        <w:keepNext w:val="0"/>
        <w:keepLines w:val="0"/>
        <w:pageBreakBefore w:val="0"/>
        <w:widowControl/>
        <w:kinsoku/>
        <w:wordWrap/>
        <w:overflowPunct/>
        <w:topLinePunct w:val="0"/>
        <w:autoSpaceDE w:val="0"/>
        <w:autoSpaceDN w:val="0"/>
        <w:bidi w:val="0"/>
        <w:adjustRightInd w:val="0"/>
        <w:snapToGrid w:val="0"/>
        <w:spacing w:before="217" w:beforeLines="50" w:line="240" w:lineRule="auto"/>
        <w:ind w:firstLine="504" w:firstLineChars="200"/>
        <w:textAlignment w:val="baseline"/>
        <w:outlineLvl w:val="3"/>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pPr>
      <w:r>
        <w:rPr>
          <w:rFonts w:hint="eastAsia"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（3）</w:t>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节材降耗</w:t>
      </w:r>
    </w:p>
    <w:p>
      <w:pPr>
        <w:keepNext w:val="0"/>
        <w:keepLines w:val="0"/>
        <w:pageBreakBefore w:val="0"/>
        <w:widowControl/>
        <w:kinsoku/>
        <w:wordWrap/>
        <w:overflowPunct/>
        <w:topLinePunct w:val="0"/>
        <w:autoSpaceDE w:val="0"/>
        <w:autoSpaceDN w:val="0"/>
        <w:bidi w:val="0"/>
        <w:adjustRightInd w:val="0"/>
        <w:snapToGrid w:val="0"/>
        <w:spacing w:before="217" w:beforeLines="50" w:line="240" w:lineRule="auto"/>
        <w:ind w:firstLine="504"/>
        <w:textAlignment w:val="baseline"/>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pP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推进数字化运营。 打造数智化的运营管理体系，对管理全流程实施线上化、自动化、数据化的改造。依托智慧运营平台，对人员、机具、物品、业务进行统一管理、审批，实现工作模式线上化的转变，提升管理效率。</w:t>
      </w:r>
    </w:p>
    <w:p>
      <w:pPr>
        <w:keepNext w:val="0"/>
        <w:keepLines w:val="0"/>
        <w:pageBreakBefore w:val="0"/>
        <w:widowControl/>
        <w:kinsoku/>
        <w:wordWrap/>
        <w:overflowPunct/>
        <w:topLinePunct w:val="0"/>
        <w:autoSpaceDE w:val="0"/>
        <w:autoSpaceDN w:val="0"/>
        <w:bidi w:val="0"/>
        <w:adjustRightInd w:val="0"/>
        <w:snapToGrid w:val="0"/>
        <w:spacing w:before="217" w:beforeLines="50" w:line="240" w:lineRule="auto"/>
        <w:ind w:firstLine="504"/>
        <w:textAlignment w:val="baseline"/>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pP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推广线上视频会议。 大力推广线上视频会议，减少跨机构现场往来，有效节约交通资源与会议开支。</w:t>
      </w:r>
    </w:p>
    <w:p>
      <w:pPr>
        <w:keepNext w:val="0"/>
        <w:keepLines w:val="0"/>
        <w:pageBreakBefore w:val="0"/>
        <w:widowControl/>
        <w:kinsoku/>
        <w:wordWrap/>
        <w:overflowPunct/>
        <w:topLinePunct w:val="0"/>
        <w:autoSpaceDE w:val="0"/>
        <w:autoSpaceDN w:val="0"/>
        <w:bidi w:val="0"/>
        <w:adjustRightInd w:val="0"/>
        <w:snapToGrid w:val="0"/>
        <w:spacing w:before="217" w:beforeLines="50" w:line="240" w:lineRule="auto"/>
        <w:ind w:firstLine="504" w:firstLineChars="200"/>
        <w:textAlignment w:val="baseline"/>
        <w:outlineLvl w:val="3"/>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pPr>
      <w:r>
        <w:rPr>
          <w:rFonts w:hint="eastAsia"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（4）</w:t>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减废与资源循环利用</w:t>
      </w:r>
    </w:p>
    <w:p>
      <w:pPr>
        <w:keepNext w:val="0"/>
        <w:keepLines w:val="0"/>
        <w:pageBreakBefore w:val="0"/>
        <w:widowControl/>
        <w:kinsoku/>
        <w:wordWrap/>
        <w:overflowPunct/>
        <w:topLinePunct w:val="0"/>
        <w:autoSpaceDE w:val="0"/>
        <w:autoSpaceDN w:val="0"/>
        <w:bidi w:val="0"/>
        <w:adjustRightInd w:val="0"/>
        <w:snapToGrid w:val="0"/>
        <w:spacing w:before="217" w:beforeLines="50" w:line="240" w:lineRule="auto"/>
        <w:ind w:firstLine="504"/>
        <w:textAlignment w:val="baseline"/>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pP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数字化办公减废。 通过管理全流程线上化改造，建立各条线业务看板，构建基于数字支撑的决策、评价、管理、考核、风控机制，有效减少纸质文件的使用和废弃物的产生。</w:t>
      </w:r>
    </w:p>
    <w:p>
      <w:pPr>
        <w:keepNext w:val="0"/>
        <w:keepLines w:val="0"/>
        <w:pageBreakBefore w:val="0"/>
        <w:widowControl/>
        <w:kinsoku/>
        <w:wordWrap/>
        <w:overflowPunct/>
        <w:topLinePunct w:val="0"/>
        <w:autoSpaceDE w:val="0"/>
        <w:autoSpaceDN w:val="0"/>
        <w:bidi w:val="0"/>
        <w:adjustRightInd w:val="0"/>
        <w:snapToGrid w:val="0"/>
        <w:spacing w:before="217" w:beforeLines="50" w:line="240" w:lineRule="auto"/>
        <w:ind w:firstLine="504"/>
        <w:textAlignment w:val="baseline"/>
        <w:rPr>
          <w:rFonts w:hint="eastAsia" w:ascii="仿宋" w:hAnsi="仿宋" w:eastAsia="仿宋" w:cs="仿宋"/>
          <w:b w:val="0"/>
          <w:bCs/>
          <w:snapToGrid w:val="0"/>
          <w:color w:val="000000" w:themeColor="text1"/>
          <w:spacing w:val="6"/>
          <w:kern w:val="0"/>
          <w:sz w:val="24"/>
          <w:szCs w:val="24"/>
          <w:lang w:val="en-US" w:eastAsia="zh-CN"/>
          <w14:textFill>
            <w14:solidFill>
              <w14:schemeClr w14:val="tx1"/>
            </w14:solidFill>
          </w14:textFill>
        </w:rPr>
      </w:pP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绿色采购源头减废。 优先选用节能高效、环保低碳的办公设备、装饰材料及日常用品，从采购源头减少对环境的影响。</w:t>
      </w:r>
      <w:r>
        <w:rPr>
          <w:rFonts w:hint="eastAsia" w:ascii="仿宋" w:hAnsi="仿宋" w:eastAsia="仿宋" w:cs="仿宋"/>
          <w:b w:val="0"/>
          <w:bCs/>
          <w:snapToGrid w:val="0"/>
          <w:color w:val="000000" w:themeColor="text1"/>
          <w:spacing w:val="6"/>
          <w:kern w:val="0"/>
          <w:sz w:val="24"/>
          <w:szCs w:val="24"/>
          <w:lang w:val="en-US" w:eastAsia="zh-CN"/>
          <w14:textFill>
            <w14:solidFill>
              <w14:schemeClr w14:val="tx1"/>
            </w14:solidFill>
          </w14:textFill>
        </w:rPr>
        <w:br w:type="page"/>
      </w:r>
    </w:p>
    <w:p>
      <w:pPr>
        <w:pStyle w:val="18"/>
        <w:keepNext w:val="0"/>
        <w:keepLines w:val="0"/>
        <w:pageBreakBefore w:val="0"/>
        <w:numPr>
          <w:ilvl w:val="0"/>
          <w:numId w:val="6"/>
        </w:numPr>
        <w:tabs>
          <w:tab w:val="right" w:leader="dot" w:pos="9897"/>
        </w:tabs>
        <w:kinsoku/>
        <w:wordWrap/>
        <w:overflowPunct/>
        <w:topLinePunct w:val="0"/>
        <w:bidi w:val="0"/>
        <w:adjustRightInd w:val="0"/>
        <w:snapToGrid w:val="0"/>
        <w:spacing w:line="240" w:lineRule="auto"/>
        <w:ind w:left="0" w:leftChars="0" w:firstLine="0" w:firstLineChars="0"/>
        <w:jc w:val="center"/>
        <w:outlineLvl w:val="0"/>
        <w:rPr>
          <w:rFonts w:hint="eastAsia" w:ascii="微软雅黑" w:hAnsi="微软雅黑" w:eastAsia="微软雅黑" w:cs="微软雅黑"/>
          <w:b w:val="0"/>
          <w:bCs/>
          <w:color w:val="00B050"/>
          <w:kern w:val="2"/>
          <w:sz w:val="32"/>
          <w:szCs w:val="32"/>
          <w:lang w:val="en-US" w:eastAsia="zh-CN" w:bidi="ar-SA"/>
        </w:rPr>
      </w:pPr>
      <w:bookmarkStart w:id="29" w:name="_Toc23941"/>
      <w:r>
        <w:rPr>
          <w:rFonts w:hint="eastAsia" w:ascii="微软雅黑" w:hAnsi="微软雅黑" w:eastAsia="微软雅黑" w:cs="微软雅黑"/>
          <w:b w:val="0"/>
          <w:bCs/>
          <w:color w:val="00B050"/>
          <w:kern w:val="2"/>
          <w:sz w:val="32"/>
          <w:szCs w:val="32"/>
          <w:lang w:val="en-US" w:eastAsia="zh-CN" w:bidi="ar-SA"/>
        </w:rPr>
        <w:t>投融资活动的环境影响</w:t>
      </w:r>
      <w:bookmarkEnd w:id="29"/>
    </w:p>
    <w:bookmarkEnd w:id="28"/>
    <w:p>
      <w:pPr>
        <w:keepNext w:val="0"/>
        <w:keepLines w:val="0"/>
        <w:pageBreakBefore w:val="0"/>
        <w:widowControl/>
        <w:numPr>
          <w:ilvl w:val="0"/>
          <w:numId w:val="0"/>
        </w:numPr>
        <w:kinsoku/>
        <w:wordWrap/>
        <w:overflowPunct/>
        <w:topLinePunct w:val="0"/>
        <w:autoSpaceDE w:val="0"/>
        <w:autoSpaceDN w:val="0"/>
        <w:bidi w:val="0"/>
        <w:adjustRightInd w:val="0"/>
        <w:snapToGrid w:val="0"/>
        <w:spacing w:before="149" w:beforeLines="50" w:line="240" w:lineRule="auto"/>
        <w:ind w:left="0" w:leftChars="0" w:firstLine="0" w:firstLineChars="0"/>
        <w:textAlignment w:val="baseline"/>
        <w:outlineLvl w:val="0"/>
        <w:rPr>
          <w:rFonts w:hint="eastAsia" w:ascii="微软雅黑" w:hAnsi="微软雅黑" w:eastAsia="微软雅黑" w:cs="微软雅黑"/>
          <w:b w:val="0"/>
          <w:bCs/>
          <w:color w:val="000000" w:themeColor="text1"/>
          <w:kern w:val="2"/>
          <w:sz w:val="28"/>
          <w:szCs w:val="28"/>
          <w:lang w:val="en-US" w:eastAsia="zh-CN" w:bidi="ar-SA"/>
          <w14:textFill>
            <w14:solidFill>
              <w14:schemeClr w14:val="tx1"/>
            </w14:solidFill>
          </w14:textFill>
        </w:rPr>
      </w:pPr>
      <w:bookmarkStart w:id="30" w:name="_Toc29812"/>
      <w:r>
        <w:rPr>
          <w:rFonts w:hint="eastAsia" w:ascii="微软雅黑" w:hAnsi="微软雅黑" w:eastAsia="微软雅黑" w:cs="微软雅黑"/>
          <w:b w:val="0"/>
          <w:bCs/>
          <w:color w:val="000000" w:themeColor="text1"/>
          <w:kern w:val="2"/>
          <w:sz w:val="28"/>
          <w:szCs w:val="28"/>
          <w:lang w:val="en-US" w:eastAsia="zh-CN" w:bidi="ar-SA"/>
          <w14:textFill>
            <w14:solidFill>
              <w14:schemeClr w14:val="tx1"/>
            </w14:solidFill>
          </w14:textFill>
        </w:rPr>
        <w:t>7.1 信贷资产</w:t>
      </w:r>
      <w:bookmarkEnd w:id="30"/>
    </w:p>
    <w:p>
      <w:pPr>
        <w:pageBreakBefore w:val="0"/>
        <w:widowControl/>
        <w:kinsoku w:val="0"/>
        <w:wordWrap/>
        <w:topLinePunct w:val="0"/>
        <w:autoSpaceDE w:val="0"/>
        <w:autoSpaceDN w:val="0"/>
        <w:bidi w:val="0"/>
        <w:adjustRightInd w:val="0"/>
        <w:snapToGrid w:val="0"/>
        <w:spacing w:before="149" w:beforeLines="50" w:line="240" w:lineRule="auto"/>
        <w:ind w:firstLine="504" w:firstLineChars="200"/>
        <w:textAlignment w:val="baseline"/>
        <w:rPr>
          <w:rFonts w:hint="eastAsia" w:ascii="仿宋" w:hAnsi="仿宋" w:eastAsia="仿宋" w:cs="仿宋"/>
          <w:b w:val="0"/>
          <w:bCs/>
          <w:snapToGrid w:val="0"/>
          <w:color w:val="000000" w:themeColor="text1"/>
          <w:spacing w:val="6"/>
          <w:kern w:val="0"/>
          <w:sz w:val="24"/>
          <w:szCs w:val="24"/>
          <w:lang w:val="en-US" w:eastAsia="zh-CN"/>
          <w14:textFill>
            <w14:solidFill>
              <w14:schemeClr w14:val="tx1"/>
            </w14:solidFill>
          </w14:textFill>
        </w:rPr>
      </w:pPr>
      <w:r>
        <w:rPr>
          <w:rFonts w:hint="eastAsia" w:ascii="仿宋" w:hAnsi="仿宋" w:eastAsia="仿宋" w:cs="仿宋"/>
          <w:b w:val="0"/>
          <w:bCs/>
          <w:snapToGrid w:val="0"/>
          <w:color w:val="000000" w:themeColor="text1"/>
          <w:spacing w:val="6"/>
          <w:kern w:val="0"/>
          <w:sz w:val="24"/>
          <w:szCs w:val="24"/>
          <w14:textFill>
            <w14:solidFill>
              <w14:schemeClr w14:val="tx1"/>
            </w14:solidFill>
          </w14:textFill>
        </w:rPr>
        <w:t>报告年度内本行应纳入投融资活动碳排放核算的贷款企业共计</w:t>
      </w:r>
      <w:r>
        <w:rPr>
          <w:rFonts w:hint="eastAsia" w:ascii="仿宋" w:hAnsi="仿宋" w:eastAsia="仿宋" w:cs="仿宋"/>
          <w:b w:val="0"/>
          <w:bCs/>
          <w:snapToGrid w:val="0"/>
          <w:color w:val="000000" w:themeColor="text1"/>
          <w:spacing w:val="6"/>
          <w:kern w:val="0"/>
          <w:sz w:val="24"/>
          <w:szCs w:val="24"/>
          <w:u w:val="single"/>
          <w14:textFill>
            <w14:solidFill>
              <w14:schemeClr w14:val="tx1"/>
            </w14:solidFill>
          </w14:textFill>
        </w:rPr>
        <w:t xml:space="preserve"> </w:t>
      </w:r>
      <w:r>
        <w:rPr>
          <w:rFonts w:hint="eastAsia" w:ascii="仿宋" w:hAnsi="仿宋" w:eastAsia="仿宋" w:cs="仿宋"/>
          <w:b w:val="0"/>
          <w:bCs/>
          <w:snapToGrid w:val="0"/>
          <w:color w:val="000000" w:themeColor="text1"/>
          <w:spacing w:val="6"/>
          <w:kern w:val="0"/>
          <w:sz w:val="24"/>
          <w:szCs w:val="24"/>
          <w:u w:val="single"/>
          <w:lang w:val="en-US" w:eastAsia="zh-CN"/>
          <w14:textFill>
            <w14:solidFill>
              <w14:schemeClr w14:val="tx1"/>
            </w14:solidFill>
          </w14:textFill>
        </w:rPr>
        <w:t>1142</w:t>
      </w:r>
      <w:r>
        <w:rPr>
          <w:rFonts w:hint="eastAsia" w:ascii="仿宋" w:hAnsi="仿宋" w:eastAsia="仿宋" w:cs="仿宋"/>
          <w:b w:val="0"/>
          <w:bCs/>
          <w:snapToGrid w:val="0"/>
          <w:color w:val="000000" w:themeColor="text1"/>
          <w:spacing w:val="6"/>
          <w:kern w:val="0"/>
          <w:sz w:val="24"/>
          <w:szCs w:val="24"/>
          <w:u w:val="single"/>
          <w14:textFill>
            <w14:solidFill>
              <w14:schemeClr w14:val="tx1"/>
            </w14:solidFill>
          </w14:textFill>
        </w:rPr>
        <w:t xml:space="preserve"> </w:t>
      </w:r>
      <w:r>
        <w:rPr>
          <w:rFonts w:hint="eastAsia" w:ascii="仿宋" w:hAnsi="仿宋" w:eastAsia="仿宋" w:cs="仿宋"/>
          <w:b w:val="0"/>
          <w:bCs/>
          <w:snapToGrid w:val="0"/>
          <w:color w:val="000000" w:themeColor="text1"/>
          <w:spacing w:val="6"/>
          <w:kern w:val="0"/>
          <w:sz w:val="24"/>
          <w:szCs w:val="24"/>
          <w14:textFill>
            <w14:solidFill>
              <w14:schemeClr w14:val="tx1"/>
            </w14:solidFill>
          </w14:textFill>
        </w:rPr>
        <w:t>家，实际核算</w:t>
      </w:r>
      <w:r>
        <w:rPr>
          <w:rFonts w:hint="eastAsia" w:ascii="仿宋" w:hAnsi="仿宋" w:eastAsia="仿宋" w:cs="仿宋"/>
          <w:b w:val="0"/>
          <w:bCs/>
          <w:snapToGrid w:val="0"/>
          <w:color w:val="000000" w:themeColor="text1"/>
          <w:spacing w:val="6"/>
          <w:kern w:val="0"/>
          <w:sz w:val="24"/>
          <w:szCs w:val="24"/>
          <w:u w:val="single"/>
          <w14:textFill>
            <w14:solidFill>
              <w14:schemeClr w14:val="tx1"/>
            </w14:solidFill>
          </w14:textFill>
        </w:rPr>
        <w:t xml:space="preserve"> </w:t>
      </w:r>
      <w:r>
        <w:rPr>
          <w:rFonts w:hint="eastAsia" w:ascii="仿宋" w:hAnsi="仿宋" w:eastAsia="仿宋" w:cs="仿宋"/>
          <w:b w:val="0"/>
          <w:bCs/>
          <w:snapToGrid w:val="0"/>
          <w:color w:val="000000" w:themeColor="text1"/>
          <w:spacing w:val="6"/>
          <w:kern w:val="0"/>
          <w:sz w:val="24"/>
          <w:szCs w:val="24"/>
          <w:u w:val="single"/>
          <w:lang w:val="en-US" w:eastAsia="zh-CN"/>
          <w14:textFill>
            <w14:solidFill>
              <w14:schemeClr w14:val="tx1"/>
            </w14:solidFill>
          </w14:textFill>
        </w:rPr>
        <w:t>1131</w:t>
      </w:r>
      <w:r>
        <w:rPr>
          <w:rFonts w:hint="eastAsia" w:ascii="仿宋" w:hAnsi="仿宋" w:eastAsia="仿宋" w:cs="仿宋"/>
          <w:b w:val="0"/>
          <w:bCs/>
          <w:snapToGrid w:val="0"/>
          <w:color w:val="000000" w:themeColor="text1"/>
          <w:spacing w:val="6"/>
          <w:kern w:val="0"/>
          <w:sz w:val="24"/>
          <w:szCs w:val="24"/>
          <w:u w:val="single"/>
          <w14:textFill>
            <w14:solidFill>
              <w14:schemeClr w14:val="tx1"/>
            </w14:solidFill>
          </w14:textFill>
        </w:rPr>
        <w:t xml:space="preserve"> </w:t>
      </w:r>
      <w:r>
        <w:rPr>
          <w:rFonts w:hint="eastAsia" w:ascii="仿宋" w:hAnsi="仿宋" w:eastAsia="仿宋" w:cs="仿宋"/>
          <w:b w:val="0"/>
          <w:bCs/>
          <w:snapToGrid w:val="0"/>
          <w:color w:val="000000" w:themeColor="text1"/>
          <w:spacing w:val="6"/>
          <w:kern w:val="0"/>
          <w:sz w:val="24"/>
          <w:szCs w:val="24"/>
          <w14:textFill>
            <w14:solidFill>
              <w14:schemeClr w14:val="tx1"/>
            </w14:solidFill>
          </w14:textFill>
        </w:rPr>
        <w:t>家，核算户数比例为</w:t>
      </w:r>
      <w:r>
        <w:rPr>
          <w:rFonts w:hint="eastAsia" w:ascii="仿宋" w:hAnsi="仿宋" w:eastAsia="仿宋" w:cs="仿宋"/>
          <w:b w:val="0"/>
          <w:bCs/>
          <w:snapToGrid w:val="0"/>
          <w:color w:val="000000" w:themeColor="text1"/>
          <w:spacing w:val="6"/>
          <w:kern w:val="0"/>
          <w:sz w:val="24"/>
          <w:szCs w:val="24"/>
          <w:u w:val="single"/>
          <w14:textFill>
            <w14:solidFill>
              <w14:schemeClr w14:val="tx1"/>
            </w14:solidFill>
          </w14:textFill>
        </w:rPr>
        <w:t xml:space="preserve"> </w:t>
      </w:r>
      <w:r>
        <w:rPr>
          <w:rFonts w:hint="eastAsia" w:ascii="仿宋" w:hAnsi="仿宋" w:eastAsia="仿宋" w:cs="仿宋"/>
          <w:b w:val="0"/>
          <w:bCs/>
          <w:snapToGrid w:val="0"/>
          <w:color w:val="000000" w:themeColor="text1"/>
          <w:spacing w:val="6"/>
          <w:kern w:val="0"/>
          <w:sz w:val="24"/>
          <w:szCs w:val="24"/>
          <w:u w:val="single"/>
          <w:lang w:val="en-US" w:eastAsia="zh-CN"/>
          <w14:textFill>
            <w14:solidFill>
              <w14:schemeClr w14:val="tx1"/>
            </w14:solidFill>
          </w14:textFill>
        </w:rPr>
        <w:t>99</w:t>
      </w:r>
      <w:r>
        <w:rPr>
          <w:rFonts w:hint="eastAsia" w:ascii="仿宋" w:hAnsi="仿宋" w:eastAsia="仿宋" w:cs="仿宋"/>
          <w:b w:val="0"/>
          <w:bCs/>
          <w:snapToGrid w:val="0"/>
          <w:color w:val="000000" w:themeColor="text1"/>
          <w:spacing w:val="6"/>
          <w:kern w:val="0"/>
          <w:sz w:val="24"/>
          <w:szCs w:val="24"/>
          <w:u w:val="single"/>
          <w14:textFill>
            <w14:solidFill>
              <w14:schemeClr w14:val="tx1"/>
            </w14:solidFill>
          </w14:textFill>
        </w:rPr>
        <w:t xml:space="preserve"> </w:t>
      </w:r>
      <w:r>
        <w:rPr>
          <w:rFonts w:hint="eastAsia" w:ascii="仿宋" w:hAnsi="仿宋" w:eastAsia="仿宋" w:cs="仿宋"/>
          <w:b w:val="0"/>
          <w:bCs/>
          <w:snapToGrid w:val="0"/>
          <w:color w:val="000000" w:themeColor="text1"/>
          <w:spacing w:val="6"/>
          <w:kern w:val="0"/>
          <w:sz w:val="24"/>
          <w:szCs w:val="24"/>
          <w14:textFill>
            <w14:solidFill>
              <w14:schemeClr w14:val="tx1"/>
            </w14:solidFill>
          </w14:textFill>
        </w:rPr>
        <w:t>%；应纳入投融资活动碳排放核算的贷款项目共计</w:t>
      </w:r>
      <w:r>
        <w:rPr>
          <w:rFonts w:hint="eastAsia" w:ascii="仿宋" w:hAnsi="仿宋" w:eastAsia="仿宋" w:cs="仿宋"/>
          <w:b w:val="0"/>
          <w:bCs/>
          <w:snapToGrid w:val="0"/>
          <w:color w:val="000000" w:themeColor="text1"/>
          <w:spacing w:val="6"/>
          <w:kern w:val="0"/>
          <w:sz w:val="24"/>
          <w:szCs w:val="24"/>
          <w:u w:val="single"/>
          <w14:textFill>
            <w14:solidFill>
              <w14:schemeClr w14:val="tx1"/>
            </w14:solidFill>
          </w14:textFill>
        </w:rPr>
        <w:t xml:space="preserve"> </w:t>
      </w:r>
      <w:r>
        <w:rPr>
          <w:rFonts w:hint="eastAsia" w:ascii="仿宋" w:hAnsi="仿宋" w:eastAsia="仿宋" w:cs="仿宋"/>
          <w:b w:val="0"/>
          <w:bCs/>
          <w:snapToGrid w:val="0"/>
          <w:color w:val="000000" w:themeColor="text1"/>
          <w:spacing w:val="6"/>
          <w:kern w:val="0"/>
          <w:sz w:val="24"/>
          <w:szCs w:val="24"/>
          <w:u w:val="single"/>
          <w:lang w:val="en-US" w:eastAsia="zh-CN"/>
          <w14:textFill>
            <w14:solidFill>
              <w14:schemeClr w14:val="tx1"/>
            </w14:solidFill>
          </w14:textFill>
        </w:rPr>
        <w:t>66</w:t>
      </w:r>
      <w:r>
        <w:rPr>
          <w:rFonts w:hint="eastAsia" w:ascii="仿宋" w:hAnsi="仿宋" w:eastAsia="仿宋" w:cs="仿宋"/>
          <w:b w:val="0"/>
          <w:bCs/>
          <w:snapToGrid w:val="0"/>
          <w:color w:val="000000" w:themeColor="text1"/>
          <w:spacing w:val="6"/>
          <w:kern w:val="0"/>
          <w:sz w:val="24"/>
          <w:szCs w:val="24"/>
          <w:u w:val="single"/>
          <w14:textFill>
            <w14:solidFill>
              <w14:schemeClr w14:val="tx1"/>
            </w14:solidFill>
          </w14:textFill>
        </w:rPr>
        <w:t xml:space="preserve"> </w:t>
      </w:r>
      <w:r>
        <w:rPr>
          <w:rFonts w:hint="eastAsia" w:ascii="仿宋" w:hAnsi="仿宋" w:eastAsia="仿宋" w:cs="仿宋"/>
          <w:b w:val="0"/>
          <w:bCs/>
          <w:snapToGrid w:val="0"/>
          <w:color w:val="000000" w:themeColor="text1"/>
          <w:spacing w:val="6"/>
          <w:kern w:val="0"/>
          <w:sz w:val="24"/>
          <w:szCs w:val="24"/>
          <w14:textFill>
            <w14:solidFill>
              <w14:schemeClr w14:val="tx1"/>
            </w14:solidFill>
          </w14:textFill>
        </w:rPr>
        <w:t>个，实际核算</w:t>
      </w:r>
      <w:r>
        <w:rPr>
          <w:rFonts w:hint="eastAsia" w:ascii="仿宋" w:hAnsi="仿宋" w:eastAsia="仿宋" w:cs="仿宋"/>
          <w:b w:val="0"/>
          <w:bCs/>
          <w:snapToGrid w:val="0"/>
          <w:color w:val="000000" w:themeColor="text1"/>
          <w:spacing w:val="6"/>
          <w:kern w:val="0"/>
          <w:sz w:val="24"/>
          <w:szCs w:val="24"/>
          <w:u w:val="single"/>
          <w14:textFill>
            <w14:solidFill>
              <w14:schemeClr w14:val="tx1"/>
            </w14:solidFill>
          </w14:textFill>
        </w:rPr>
        <w:t xml:space="preserve"> </w:t>
      </w:r>
      <w:r>
        <w:rPr>
          <w:rFonts w:hint="eastAsia" w:ascii="仿宋" w:hAnsi="仿宋" w:eastAsia="仿宋" w:cs="仿宋"/>
          <w:b w:val="0"/>
          <w:bCs/>
          <w:snapToGrid w:val="0"/>
          <w:color w:val="000000" w:themeColor="text1"/>
          <w:spacing w:val="6"/>
          <w:kern w:val="0"/>
          <w:sz w:val="24"/>
          <w:szCs w:val="24"/>
          <w:u w:val="single"/>
          <w:lang w:val="en-US" w:eastAsia="zh-CN"/>
          <w14:textFill>
            <w14:solidFill>
              <w14:schemeClr w14:val="tx1"/>
            </w14:solidFill>
          </w14:textFill>
        </w:rPr>
        <w:t>66</w:t>
      </w:r>
      <w:r>
        <w:rPr>
          <w:rFonts w:hint="eastAsia" w:ascii="仿宋" w:hAnsi="仿宋" w:eastAsia="仿宋" w:cs="仿宋"/>
          <w:b w:val="0"/>
          <w:bCs/>
          <w:snapToGrid w:val="0"/>
          <w:color w:val="000000" w:themeColor="text1"/>
          <w:spacing w:val="6"/>
          <w:kern w:val="0"/>
          <w:sz w:val="24"/>
          <w:szCs w:val="24"/>
          <w:u w:val="single"/>
          <w14:textFill>
            <w14:solidFill>
              <w14:schemeClr w14:val="tx1"/>
            </w14:solidFill>
          </w14:textFill>
        </w:rPr>
        <w:t xml:space="preserve"> </w:t>
      </w:r>
      <w:r>
        <w:rPr>
          <w:rFonts w:hint="eastAsia" w:ascii="仿宋" w:hAnsi="仿宋" w:eastAsia="仿宋" w:cs="仿宋"/>
          <w:b w:val="0"/>
          <w:bCs/>
          <w:snapToGrid w:val="0"/>
          <w:color w:val="000000" w:themeColor="text1"/>
          <w:spacing w:val="6"/>
          <w:kern w:val="0"/>
          <w:sz w:val="24"/>
          <w:szCs w:val="24"/>
          <w14:textFill>
            <w14:solidFill>
              <w14:schemeClr w14:val="tx1"/>
            </w14:solidFill>
          </w14:textFill>
        </w:rPr>
        <w:t>个，核算户数比例为</w:t>
      </w:r>
      <w:r>
        <w:rPr>
          <w:rFonts w:hint="eastAsia" w:ascii="仿宋" w:hAnsi="仿宋" w:eastAsia="仿宋" w:cs="仿宋"/>
          <w:b w:val="0"/>
          <w:bCs/>
          <w:snapToGrid w:val="0"/>
          <w:color w:val="000000" w:themeColor="text1"/>
          <w:spacing w:val="6"/>
          <w:kern w:val="0"/>
          <w:sz w:val="24"/>
          <w:szCs w:val="24"/>
          <w:u w:val="single"/>
          <w14:textFill>
            <w14:solidFill>
              <w14:schemeClr w14:val="tx1"/>
            </w14:solidFill>
          </w14:textFill>
        </w:rPr>
        <w:t xml:space="preserve"> </w:t>
      </w:r>
      <w:r>
        <w:rPr>
          <w:rFonts w:hint="eastAsia" w:ascii="仿宋" w:hAnsi="仿宋" w:eastAsia="仿宋" w:cs="仿宋"/>
          <w:b w:val="0"/>
          <w:bCs/>
          <w:snapToGrid w:val="0"/>
          <w:color w:val="000000" w:themeColor="text1"/>
          <w:spacing w:val="6"/>
          <w:kern w:val="0"/>
          <w:sz w:val="24"/>
          <w:szCs w:val="24"/>
          <w:u w:val="single"/>
          <w:lang w:val="en-US" w:eastAsia="zh-CN"/>
          <w14:textFill>
            <w14:solidFill>
              <w14:schemeClr w14:val="tx1"/>
            </w14:solidFill>
          </w14:textFill>
        </w:rPr>
        <w:t>100</w:t>
      </w:r>
      <w:r>
        <w:rPr>
          <w:rFonts w:hint="eastAsia" w:ascii="仿宋" w:hAnsi="仿宋" w:eastAsia="仿宋" w:cs="仿宋"/>
          <w:b w:val="0"/>
          <w:bCs/>
          <w:snapToGrid w:val="0"/>
          <w:color w:val="000000" w:themeColor="text1"/>
          <w:spacing w:val="6"/>
          <w:kern w:val="0"/>
          <w:sz w:val="24"/>
          <w:szCs w:val="24"/>
          <w:u w:val="single"/>
          <w14:textFill>
            <w14:solidFill>
              <w14:schemeClr w14:val="tx1"/>
            </w14:solidFill>
          </w14:textFill>
        </w:rPr>
        <w:t xml:space="preserve"> </w:t>
      </w:r>
      <w:r>
        <w:rPr>
          <w:rFonts w:hint="eastAsia" w:ascii="仿宋" w:hAnsi="仿宋" w:eastAsia="仿宋" w:cs="仿宋"/>
          <w:b w:val="0"/>
          <w:bCs/>
          <w:snapToGrid w:val="0"/>
          <w:color w:val="000000" w:themeColor="text1"/>
          <w:spacing w:val="6"/>
          <w:kern w:val="0"/>
          <w:sz w:val="24"/>
          <w:szCs w:val="24"/>
          <w14:textFill>
            <w14:solidFill>
              <w14:schemeClr w14:val="tx1"/>
            </w14:solidFill>
          </w14:textFill>
        </w:rPr>
        <w:t xml:space="preserve">%。  </w:t>
      </w:r>
    </w:p>
    <w:p>
      <w:pPr>
        <w:widowControl/>
        <w:kinsoku w:val="0"/>
        <w:autoSpaceDE w:val="0"/>
        <w:autoSpaceDN w:val="0"/>
        <w:adjustRightInd w:val="0"/>
        <w:snapToGrid w:val="0"/>
        <w:spacing w:before="156" w:beforeLines="50" w:line="240" w:lineRule="auto"/>
        <w:ind w:firstLine="504"/>
        <w:textAlignment w:val="baseline"/>
        <w:rPr>
          <w:rFonts w:ascii="仿宋" w:hAnsi="仿宋" w:eastAsia="仿宋" w:cs="仿宋"/>
          <w:b w:val="0"/>
          <w:bCs/>
          <w:snapToGrid w:val="0"/>
          <w:color w:val="000000" w:themeColor="text1"/>
          <w:spacing w:val="6"/>
          <w:kern w:val="0"/>
          <w:sz w:val="24"/>
          <w:szCs w:val="24"/>
          <w14:textFill>
            <w14:solidFill>
              <w14:schemeClr w14:val="tx1"/>
            </w14:solidFill>
          </w14:textFill>
        </w:rPr>
      </w:pPr>
      <w:r>
        <w:rPr>
          <w:rFonts w:hint="eastAsia" w:ascii="仿宋" w:hAnsi="仿宋" w:eastAsia="仿宋" w:cs="仿宋"/>
          <w:b w:val="0"/>
          <w:bCs/>
          <w:snapToGrid w:val="0"/>
          <w:color w:val="000000" w:themeColor="text1"/>
          <w:spacing w:val="6"/>
          <w:kern w:val="0"/>
          <w:sz w:val="24"/>
          <w:szCs w:val="24"/>
          <w14:textFill>
            <w14:solidFill>
              <w14:schemeClr w14:val="tx1"/>
            </w14:solidFill>
          </w14:textFill>
        </w:rPr>
        <w:t>经核算，报告年度内本行投融资活动中信贷资产碳排放合计为</w:t>
      </w:r>
      <w:r>
        <w:rPr>
          <w:rFonts w:hint="eastAsia" w:ascii="仿宋" w:hAnsi="仿宋" w:eastAsia="仿宋" w:cs="仿宋"/>
          <w:b w:val="0"/>
          <w:bCs/>
          <w:snapToGrid w:val="0"/>
          <w:color w:val="000000" w:themeColor="text1"/>
          <w:spacing w:val="6"/>
          <w:kern w:val="0"/>
          <w:sz w:val="24"/>
          <w:szCs w:val="24"/>
          <w:u w:val="single"/>
          <w:lang w:val="en-US" w:eastAsia="zh-CN"/>
          <w14:textFill>
            <w14:solidFill>
              <w14:schemeClr w14:val="tx1"/>
            </w14:solidFill>
          </w14:textFill>
        </w:rPr>
        <w:t xml:space="preserve"> </w:t>
      </w:r>
      <w:r>
        <w:rPr>
          <w:rFonts w:ascii="仿宋" w:hAnsi="仿宋" w:eastAsia="仿宋" w:cs="仿宋"/>
          <w:color w:val="000000"/>
          <w:spacing w:val="6"/>
          <w:sz w:val="24"/>
          <w:u w:val="single" w:color="auto"/>
        </w:rPr>
        <w:t xml:space="preserve">374159.60 </w:t>
      </w:r>
      <w:r>
        <w:rPr>
          <w:rFonts w:hint="eastAsia" w:ascii="仿宋" w:hAnsi="仿宋" w:eastAsia="仿宋" w:cs="仿宋"/>
          <w:b w:val="0"/>
          <w:bCs/>
          <w:snapToGrid w:val="0"/>
          <w:color w:val="000000" w:themeColor="text1"/>
          <w:spacing w:val="6"/>
          <w:kern w:val="0"/>
          <w:sz w:val="24"/>
          <w:szCs w:val="24"/>
          <w14:textFill>
            <w14:solidFill>
              <w14:schemeClr w14:val="tx1"/>
            </w14:solidFill>
          </w14:textFill>
        </w:rPr>
        <w:t>tCO</w:t>
      </w:r>
      <w:r>
        <w:rPr>
          <w:rFonts w:hint="eastAsia" w:ascii="仿宋" w:hAnsi="仿宋" w:eastAsia="仿宋" w:cs="仿宋"/>
          <w:b w:val="0"/>
          <w:bCs/>
          <w:snapToGrid w:val="0"/>
          <w:color w:val="000000" w:themeColor="text1"/>
          <w:spacing w:val="6"/>
          <w:kern w:val="0"/>
          <w:sz w:val="24"/>
          <w:szCs w:val="24"/>
          <w:vertAlign w:val="subscript"/>
          <w14:textFill>
            <w14:solidFill>
              <w14:schemeClr w14:val="tx1"/>
            </w14:solidFill>
          </w14:textFill>
        </w:rPr>
        <w:t>2</w:t>
      </w:r>
      <w:r>
        <w:rPr>
          <w:rFonts w:hint="eastAsia" w:ascii="仿宋" w:hAnsi="仿宋" w:eastAsia="仿宋" w:cs="仿宋"/>
          <w:b w:val="0"/>
          <w:bCs/>
          <w:snapToGrid w:val="0"/>
          <w:color w:val="000000" w:themeColor="text1"/>
          <w:spacing w:val="6"/>
          <w:kern w:val="0"/>
          <w:sz w:val="24"/>
          <w:szCs w:val="24"/>
          <w14:textFill>
            <w14:solidFill>
              <w14:schemeClr w14:val="tx1"/>
            </w14:solidFill>
          </w14:textFill>
        </w:rPr>
        <w:t>e，其中项目贷款产生的碳排放</w:t>
      </w:r>
      <w:r>
        <w:rPr>
          <w:rFonts w:hint="eastAsia" w:ascii="仿宋" w:hAnsi="仿宋" w:eastAsia="仿宋" w:cs="仿宋"/>
          <w:b w:val="0"/>
          <w:bCs/>
          <w:snapToGrid w:val="0"/>
          <w:color w:val="000000" w:themeColor="text1"/>
          <w:spacing w:val="6"/>
          <w:kern w:val="0"/>
          <w:sz w:val="24"/>
          <w:szCs w:val="24"/>
          <w:u w:val="single"/>
          <w:lang w:val="en-US" w:eastAsia="zh-CN"/>
          <w14:textFill>
            <w14:solidFill>
              <w14:schemeClr w14:val="tx1"/>
            </w14:solidFill>
          </w14:textFill>
        </w:rPr>
        <w:t xml:space="preserve"> </w:t>
      </w:r>
      <w:r>
        <w:rPr>
          <w:rFonts w:ascii="仿宋" w:hAnsi="仿宋" w:eastAsia="仿宋" w:cs="仿宋"/>
          <w:color w:val="000000"/>
          <w:spacing w:val="6"/>
          <w:sz w:val="24"/>
          <w:u w:val="single" w:color="auto"/>
        </w:rPr>
        <w:t>22270.4</w:t>
      </w:r>
      <w:r>
        <w:rPr>
          <w:rFonts w:hint="eastAsia" w:ascii="仿宋" w:hAnsi="仿宋" w:eastAsia="仿宋" w:cs="仿宋"/>
          <w:color w:val="000000"/>
          <w:spacing w:val="6"/>
          <w:sz w:val="24"/>
          <w:u w:val="single" w:color="auto"/>
          <w:lang w:val="en-US" w:eastAsia="zh-CN"/>
        </w:rPr>
        <w:t>8</w:t>
      </w:r>
      <w:r>
        <w:rPr>
          <w:rFonts w:ascii="仿宋" w:hAnsi="仿宋" w:eastAsia="仿宋" w:cs="仿宋"/>
          <w:color w:val="000000"/>
          <w:spacing w:val="6"/>
          <w:sz w:val="24"/>
          <w:u w:val="single" w:color="auto"/>
        </w:rPr>
        <w:t xml:space="preserve"> </w:t>
      </w:r>
      <w:r>
        <w:rPr>
          <w:rFonts w:hint="eastAsia" w:ascii="仿宋" w:hAnsi="仿宋" w:eastAsia="仿宋" w:cs="仿宋"/>
          <w:b w:val="0"/>
          <w:bCs/>
          <w:snapToGrid w:val="0"/>
          <w:color w:val="000000" w:themeColor="text1"/>
          <w:spacing w:val="6"/>
          <w:kern w:val="0"/>
          <w:sz w:val="24"/>
          <w:szCs w:val="24"/>
          <w14:textFill>
            <w14:solidFill>
              <w14:schemeClr w14:val="tx1"/>
            </w14:solidFill>
          </w14:textFill>
        </w:rPr>
        <w:t>tCO</w:t>
      </w:r>
      <w:r>
        <w:rPr>
          <w:rFonts w:hint="eastAsia" w:ascii="仿宋" w:hAnsi="仿宋" w:eastAsia="仿宋" w:cs="仿宋"/>
          <w:b w:val="0"/>
          <w:bCs/>
          <w:snapToGrid w:val="0"/>
          <w:color w:val="000000" w:themeColor="text1"/>
          <w:spacing w:val="6"/>
          <w:kern w:val="0"/>
          <w:sz w:val="24"/>
          <w:szCs w:val="24"/>
          <w:vertAlign w:val="subscript"/>
          <w14:textFill>
            <w14:solidFill>
              <w14:schemeClr w14:val="tx1"/>
            </w14:solidFill>
          </w14:textFill>
        </w:rPr>
        <w:t>2</w:t>
      </w:r>
      <w:r>
        <w:rPr>
          <w:rFonts w:hint="eastAsia" w:ascii="仿宋" w:hAnsi="仿宋" w:eastAsia="仿宋" w:cs="仿宋"/>
          <w:b w:val="0"/>
          <w:bCs/>
          <w:snapToGrid w:val="0"/>
          <w:color w:val="000000" w:themeColor="text1"/>
          <w:spacing w:val="6"/>
          <w:kern w:val="0"/>
          <w:sz w:val="24"/>
          <w:szCs w:val="24"/>
          <w14:textFill>
            <w14:solidFill>
              <w14:schemeClr w14:val="tx1"/>
            </w14:solidFill>
          </w14:textFill>
        </w:rPr>
        <w:t>e，非项目贷款产生的碳排放</w:t>
      </w:r>
      <w:r>
        <w:rPr>
          <w:rFonts w:hint="eastAsia" w:ascii="仿宋" w:hAnsi="仿宋" w:eastAsia="仿宋" w:cs="仿宋"/>
          <w:b w:val="0"/>
          <w:bCs/>
          <w:snapToGrid w:val="0"/>
          <w:color w:val="000000" w:themeColor="text1"/>
          <w:spacing w:val="6"/>
          <w:kern w:val="0"/>
          <w:sz w:val="24"/>
          <w:szCs w:val="24"/>
          <w:u w:val="single"/>
          <w:lang w:val="en-US" w:eastAsia="zh-CN"/>
          <w14:textFill>
            <w14:solidFill>
              <w14:schemeClr w14:val="tx1"/>
            </w14:solidFill>
          </w14:textFill>
        </w:rPr>
        <w:t xml:space="preserve"> </w:t>
      </w:r>
      <w:r>
        <w:rPr>
          <w:rFonts w:ascii="仿宋" w:hAnsi="仿宋" w:eastAsia="仿宋" w:cs="仿宋"/>
          <w:color w:val="000000"/>
          <w:spacing w:val="6"/>
          <w:sz w:val="24"/>
          <w:u w:val="single" w:color="auto"/>
        </w:rPr>
        <w:t xml:space="preserve">351889.12 </w:t>
      </w:r>
      <w:r>
        <w:rPr>
          <w:rFonts w:hint="eastAsia" w:ascii="仿宋" w:hAnsi="仿宋" w:eastAsia="仿宋" w:cs="仿宋"/>
          <w:b w:val="0"/>
          <w:bCs/>
          <w:snapToGrid w:val="0"/>
          <w:color w:val="000000" w:themeColor="text1"/>
          <w:spacing w:val="6"/>
          <w:kern w:val="0"/>
          <w:sz w:val="24"/>
          <w:szCs w:val="24"/>
          <w14:textFill>
            <w14:solidFill>
              <w14:schemeClr w14:val="tx1"/>
            </w14:solidFill>
          </w14:textFill>
        </w:rPr>
        <w:t>tCO</w:t>
      </w:r>
      <w:r>
        <w:rPr>
          <w:rFonts w:hint="eastAsia" w:ascii="仿宋" w:hAnsi="仿宋" w:eastAsia="仿宋" w:cs="仿宋"/>
          <w:b w:val="0"/>
          <w:bCs/>
          <w:snapToGrid w:val="0"/>
          <w:color w:val="000000" w:themeColor="text1"/>
          <w:spacing w:val="6"/>
          <w:kern w:val="0"/>
          <w:sz w:val="24"/>
          <w:szCs w:val="24"/>
          <w:vertAlign w:val="subscript"/>
          <w14:textFill>
            <w14:solidFill>
              <w14:schemeClr w14:val="tx1"/>
            </w14:solidFill>
          </w14:textFill>
        </w:rPr>
        <w:t>2</w:t>
      </w:r>
      <w:r>
        <w:rPr>
          <w:rFonts w:hint="eastAsia" w:ascii="仿宋" w:hAnsi="仿宋" w:eastAsia="仿宋" w:cs="仿宋"/>
          <w:b w:val="0"/>
          <w:bCs/>
          <w:snapToGrid w:val="0"/>
          <w:color w:val="000000" w:themeColor="text1"/>
          <w:spacing w:val="6"/>
          <w:kern w:val="0"/>
          <w:sz w:val="24"/>
          <w:szCs w:val="24"/>
          <w14:textFill>
            <w14:solidFill>
              <w14:schemeClr w14:val="tx1"/>
            </w14:solidFill>
          </w14:textFill>
        </w:rPr>
        <w:t>e。</w:t>
      </w:r>
    </w:p>
    <w:p>
      <w:pPr>
        <w:widowControl/>
        <w:spacing w:line="240" w:lineRule="auto"/>
        <w:ind w:firstLine="0" w:firstLineChars="0"/>
        <w:jc w:val="center"/>
        <w:rPr>
          <w:rFonts w:hint="eastAsia" w:ascii="宋体" w:hAnsi="宋体" w:eastAsia="宋体" w:cs="宋体"/>
          <w:b w:val="0"/>
          <w:bCs/>
          <w:color w:val="0070C0"/>
          <w:kern w:val="0"/>
          <w:sz w:val="18"/>
          <w:szCs w:val="18"/>
          <w:lang w:val="en-US" w:eastAsia="zh-CN"/>
        </w:rPr>
      </w:pPr>
      <w:r>
        <w:rPr>
          <w:rFonts w:hint="eastAsia" w:ascii="宋体" w:hAnsi="宋体" w:eastAsia="宋体" w:cs="宋体"/>
          <w:b w:val="0"/>
          <w:bCs/>
          <w:color w:val="0070C0"/>
          <w:kern w:val="0"/>
          <w:sz w:val="18"/>
          <w:szCs w:val="18"/>
          <w:lang w:val="en-US" w:eastAsia="zh-CN"/>
        </w:rPr>
        <w:t>7-1信贷资产碳排放</w:t>
      </w:r>
    </w:p>
    <w:tbl>
      <w:tblPr>
        <w:tblStyle w:val="21"/>
        <w:tblW w:w="9339" w:type="dxa"/>
        <w:jc w:val="center"/>
        <w:tblLayout w:type="fixed"/>
        <w:tblCellMar>
          <w:top w:w="0" w:type="dxa"/>
          <w:left w:w="108" w:type="dxa"/>
          <w:bottom w:w="0" w:type="dxa"/>
          <w:right w:w="108" w:type="dxa"/>
        </w:tblCellMar>
      </w:tblPr>
      <w:tblGrid>
        <w:gridCol w:w="1926"/>
        <w:gridCol w:w="3320"/>
        <w:gridCol w:w="1295"/>
        <w:gridCol w:w="1322"/>
        <w:gridCol w:w="1476"/>
      </w:tblGrid>
      <w:tr>
        <w:tblPrEx>
          <w:tblCellMar>
            <w:top w:w="0" w:type="dxa"/>
            <w:left w:w="108" w:type="dxa"/>
            <w:bottom w:w="0" w:type="dxa"/>
            <w:right w:w="108" w:type="dxa"/>
          </w:tblCellMar>
        </w:tblPrEx>
        <w:trPr>
          <w:trHeight w:val="392" w:hRule="atLeast"/>
          <w:tblHeader/>
          <w:jc w:val="center"/>
        </w:trPr>
        <w:tc>
          <w:tcPr>
            <w:tcW w:w="1926" w:type="dxa"/>
            <w:tcBorders>
              <w:top w:val="single" w:color="000000" w:sz="4" w:space="0"/>
              <w:left w:val="single" w:color="000000" w:sz="4" w:space="0"/>
              <w:bottom w:val="single" w:color="000000" w:sz="4" w:space="0"/>
              <w:right w:val="single" w:color="000000" w:sz="4" w:space="0"/>
            </w:tcBorders>
            <w:noWrap/>
            <w:vAlign w:val="center"/>
          </w:tcPr>
          <w:p>
            <w:r>
              <w:rPr>
                <w:rFonts w:ascii="宋体" w:hAnsi="宋体" w:eastAsia="宋体" w:cs="宋体"/>
                <w:b/>
                <w:sz w:val="18"/>
              </w:rPr>
              <w:t>资产类别</w:t>
            </w:r>
          </w:p>
        </w:tc>
        <w:tc>
          <w:tcPr>
            <w:tcW w:w="332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firstLine="0" w:firstLineChars="0"/>
              <w:jc w:val="center"/>
              <w:rPr>
                <w:rFonts w:hint="eastAsia" w:ascii="宋体" w:hAnsi="宋体" w:eastAsia="宋体" w:cs="宋体"/>
                <w:b/>
                <w:bCs w:val="0"/>
                <w:color w:val="000000" w:themeColor="text1"/>
                <w:kern w:val="0"/>
                <w:sz w:val="18"/>
                <w:szCs w:val="18"/>
                <w14:textFill>
                  <w14:solidFill>
                    <w14:schemeClr w14:val="tx1"/>
                  </w14:solidFill>
                </w14:textFill>
              </w:rPr>
            </w:pPr>
            <w:r>
              <w:rPr>
                <w:rFonts w:hint="eastAsia" w:ascii="宋体" w:hAnsi="宋体" w:eastAsia="宋体" w:cs="宋体"/>
                <w:b/>
                <w:bCs w:val="0"/>
                <w:color w:val="000000" w:themeColor="text1"/>
                <w:kern w:val="0"/>
                <w:sz w:val="18"/>
                <w:szCs w:val="18"/>
                <w14:textFill>
                  <w14:solidFill>
                    <w14:schemeClr w14:val="tx1"/>
                  </w14:solidFill>
                </w14:textFill>
              </w:rPr>
              <w:t>指标名称</w:t>
            </w:r>
          </w:p>
        </w:tc>
        <w:tc>
          <w:tcPr>
            <w:tcW w:w="129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firstLine="0" w:firstLineChars="0"/>
              <w:jc w:val="center"/>
              <w:rPr>
                <w:rFonts w:hint="eastAsia" w:ascii="宋体" w:hAnsi="宋体" w:eastAsia="宋体" w:cs="宋体"/>
                <w:b/>
                <w:bCs w:val="0"/>
                <w:color w:val="000000" w:themeColor="text1"/>
                <w:kern w:val="0"/>
                <w:sz w:val="18"/>
                <w:szCs w:val="18"/>
                <w14:textFill>
                  <w14:solidFill>
                    <w14:schemeClr w14:val="tx1"/>
                  </w14:solidFill>
                </w14:textFill>
              </w:rPr>
            </w:pPr>
            <w:r>
              <w:rPr>
                <w:rFonts w:hint="eastAsia" w:ascii="宋体" w:hAnsi="宋体" w:eastAsia="宋体" w:cs="宋体"/>
                <w:b/>
                <w:bCs w:val="0"/>
                <w:color w:val="000000" w:themeColor="text1"/>
                <w:kern w:val="0"/>
                <w:sz w:val="18"/>
                <w:szCs w:val="18"/>
                <w14:textFill>
                  <w14:solidFill>
                    <w14:schemeClr w14:val="tx1"/>
                  </w14:solidFill>
                </w14:textFill>
              </w:rPr>
              <w:t>单位</w:t>
            </w:r>
          </w:p>
        </w:tc>
        <w:tc>
          <w:tcPr>
            <w:tcW w:w="132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firstLine="0" w:firstLineChars="0"/>
              <w:jc w:val="center"/>
              <w:rPr>
                <w:rFonts w:hint="eastAsia" w:ascii="宋体" w:hAnsi="宋体" w:eastAsia="宋体" w:cs="宋体"/>
                <w:b/>
                <w:bCs w:val="0"/>
                <w:color w:val="000000" w:themeColor="text1"/>
                <w:kern w:val="0"/>
                <w:sz w:val="18"/>
                <w:szCs w:val="18"/>
                <w14:textFill>
                  <w14:solidFill>
                    <w14:schemeClr w14:val="tx1"/>
                  </w14:solidFill>
                </w14:textFill>
              </w:rPr>
            </w:pPr>
            <w:r>
              <w:rPr>
                <w:rFonts w:hint="eastAsia" w:ascii="宋体" w:hAnsi="宋体" w:eastAsia="宋体" w:cs="宋体"/>
                <w:b/>
                <w:bCs w:val="0"/>
                <w:i w:val="0"/>
                <w:iCs w:val="0"/>
                <w:color w:val="000000" w:themeColor="text1"/>
                <w:kern w:val="0"/>
                <w:sz w:val="18"/>
                <w:szCs w:val="18"/>
                <w:u w:val="none"/>
                <w:lang w:val="en-US" w:eastAsia="zh-CN" w:bidi="ar"/>
                <w14:textFill>
                  <w14:solidFill>
                    <w14:schemeClr w14:val="tx1"/>
                  </w14:solidFill>
                </w14:textFill>
              </w:rPr>
              <w:t>2025</w:t>
            </w:r>
            <w:r>
              <w:rPr>
                <w:rFonts w:hint="eastAsia" w:ascii="宋体" w:hAnsi="宋体" w:eastAsia="宋体" w:cs="宋体"/>
                <w:b/>
                <w:bCs w:val="0"/>
                <w:color w:val="000000" w:themeColor="text1"/>
                <w:kern w:val="0"/>
                <w:sz w:val="18"/>
                <w:szCs w:val="18"/>
                <w14:textFill>
                  <w14:solidFill>
                    <w14:schemeClr w14:val="tx1"/>
                  </w14:solidFill>
                </w14:textFill>
              </w:rPr>
              <w:t>年</w:t>
            </w:r>
          </w:p>
        </w:tc>
        <w:tc>
          <w:tcPr>
            <w:tcW w:w="147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firstLine="0" w:firstLineChars="0"/>
              <w:jc w:val="center"/>
              <w:rPr>
                <w:rFonts w:hint="eastAsia" w:ascii="宋体" w:hAnsi="宋体" w:eastAsia="宋体" w:cs="宋体"/>
                <w:b/>
                <w:bCs w:val="0"/>
                <w:color w:val="000000" w:themeColor="text1"/>
                <w:kern w:val="0"/>
                <w:sz w:val="18"/>
                <w:szCs w:val="18"/>
                <w14:textFill>
                  <w14:solidFill>
                    <w14:schemeClr w14:val="tx1"/>
                  </w14:solidFill>
                </w14:textFill>
              </w:rPr>
            </w:pPr>
            <w:r>
              <w:rPr>
                <w:rFonts w:hint="eastAsia" w:ascii="宋体" w:hAnsi="宋体" w:eastAsia="宋体" w:cs="宋体"/>
                <w:b/>
                <w:bCs w:val="0"/>
                <w:i w:val="0"/>
                <w:iCs w:val="0"/>
                <w:color w:val="000000" w:themeColor="text1"/>
                <w:kern w:val="0"/>
                <w:sz w:val="18"/>
                <w:szCs w:val="18"/>
                <w:u w:val="none"/>
                <w:lang w:val="en-US" w:eastAsia="zh-CN" w:bidi="ar"/>
                <w14:textFill>
                  <w14:solidFill>
                    <w14:schemeClr w14:val="tx1"/>
                  </w14:solidFill>
                </w14:textFill>
              </w:rPr>
              <w:t>2024</w:t>
            </w:r>
            <w:r>
              <w:rPr>
                <w:rFonts w:hint="eastAsia" w:ascii="宋体" w:hAnsi="宋体" w:eastAsia="宋体" w:cs="宋体"/>
                <w:b/>
                <w:bCs w:val="0"/>
                <w:color w:val="000000" w:themeColor="text1"/>
                <w:kern w:val="0"/>
                <w:sz w:val="18"/>
                <w:szCs w:val="18"/>
                <w14:textFill>
                  <w14:solidFill>
                    <w14:schemeClr w14:val="tx1"/>
                  </w14:solidFill>
                </w14:textFill>
              </w:rPr>
              <w:t>年</w:t>
            </w:r>
          </w:p>
        </w:tc>
      </w:tr>
      <w:tr>
        <w:tblPrEx>
          <w:tblCellMar>
            <w:top w:w="0" w:type="dxa"/>
            <w:left w:w="108" w:type="dxa"/>
            <w:bottom w:w="0" w:type="dxa"/>
            <w:right w:w="108" w:type="dxa"/>
          </w:tblCellMar>
        </w:tblPrEx>
        <w:trPr>
          <w:trHeight w:val="437" w:hRule="atLeast"/>
          <w:jc w:val="center"/>
        </w:trPr>
        <w:tc>
          <w:tcPr>
            <w:tcW w:w="1926"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项目贷款</w:t>
            </w:r>
          </w:p>
        </w:tc>
        <w:tc>
          <w:tcPr>
            <w:tcW w:w="332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firstLine="360" w:firstLineChars="20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投融资碳排放量</w:t>
            </w:r>
          </w:p>
        </w:tc>
        <w:tc>
          <w:tcPr>
            <w:tcW w:w="129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left="0" w:leftChars="0" w:firstLine="0" w:firstLineChars="0"/>
              <w:jc w:val="center"/>
              <w:rPr>
                <w:rFonts w:hint="default" w:ascii="宋体" w:hAnsi="宋体" w:eastAsia="宋体" w:cs="宋体"/>
                <w:b w:val="0"/>
                <w:bCs/>
                <w:color w:val="000000" w:themeColor="text1"/>
                <w:kern w:val="0"/>
                <w:sz w:val="18"/>
                <w:szCs w:val="18"/>
                <w:lang w:val="en-US"/>
                <w14:textFill>
                  <w14:solidFill>
                    <w14:schemeClr w14:val="tx1"/>
                  </w14:solidFill>
                </w14:textFill>
              </w:rPr>
            </w:pPr>
            <w:r>
              <w:rPr>
                <w:rFonts w:hint="eastAsia" w:ascii="宋体" w:hAnsi="宋体" w:eastAsia="宋体" w:cs="宋体"/>
                <w:b w:val="0"/>
                <w:bCs/>
                <w:color w:val="000000"/>
                <w:kern w:val="0"/>
                <w:sz w:val="18"/>
                <w:szCs w:val="18"/>
                <w:lang w:val="en-US" w:eastAsia="zh-CN"/>
              </w:rPr>
              <w:t>tCO2e</w:t>
            </w:r>
          </w:p>
        </w:tc>
        <w:tc>
          <w:tcPr>
            <w:tcW w:w="132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left="0" w:leftChars="0"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22270.47901</w:t>
            </w:r>
          </w:p>
        </w:tc>
        <w:tc>
          <w:tcPr>
            <w:tcW w:w="147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widowControl/>
              <w:spacing w:line="240" w:lineRule="auto"/>
              <w:ind w:left="0" w:leftChars="0" w:firstLine="0" w:firstLineChars="0"/>
              <w:jc w:val="center"/>
              <w:rPr>
                <w:rFonts w:hint="eastAsia" w:ascii="宋体" w:hAnsi="宋体" w:eastAsia="宋体" w:cs="宋体"/>
                <w:b w:val="0"/>
                <w:bCs/>
                <w:color w:val="000000" w:themeColor="text1"/>
                <w:kern w:val="0"/>
                <w:sz w:val="18"/>
                <w:szCs w:val="18"/>
                <w:lang w:val="en-US" w:eastAsia="zh-CN" w:bidi="ar-SA"/>
                <w14:textFill>
                  <w14:solidFill>
                    <w14:schemeClr w14:val="tx1"/>
                  </w14:solidFill>
                </w14:textFill>
              </w:rPr>
            </w:pPr>
            <w:r>
              <w:rPr>
                <w:rFonts w:hint="eastAsia" w:ascii="宋体" w:hAnsi="宋体" w:eastAsia="宋体" w:cs="宋体"/>
                <w:b w:val="0"/>
                <w:bCs/>
                <w:color w:val="000000"/>
                <w:kern w:val="0"/>
                <w:sz w:val="18"/>
                <w:szCs w:val="18"/>
                <w:lang w:val="en-US" w:eastAsia="zh-CN"/>
              </w:rPr>
              <w:t>13724.91037</w:t>
            </w:r>
          </w:p>
        </w:tc>
      </w:tr>
      <w:tr>
        <w:tblPrEx>
          <w:tblCellMar>
            <w:top w:w="0" w:type="dxa"/>
            <w:left w:w="108" w:type="dxa"/>
            <w:bottom w:w="0" w:type="dxa"/>
            <w:right w:w="108" w:type="dxa"/>
          </w:tblCellMar>
        </w:tblPrEx>
        <w:trPr>
          <w:trHeight w:val="437" w:hRule="atLeast"/>
          <w:jc w:val="center"/>
        </w:trPr>
        <w:tc>
          <w:tcPr>
            <w:tcW w:w="1926"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项目贷款</w:t>
            </w:r>
          </w:p>
        </w:tc>
        <w:tc>
          <w:tcPr>
            <w:tcW w:w="332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firstLine="360" w:firstLineChars="20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纳入碳排放核算的投融资业务比例</w:t>
            </w:r>
          </w:p>
        </w:tc>
        <w:tc>
          <w:tcPr>
            <w:tcW w:w="129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left="0" w:leftChars="0" w:firstLine="0" w:firstLineChars="0"/>
              <w:jc w:val="center"/>
              <w:rPr>
                <w:rFonts w:hint="default" w:ascii="宋体" w:hAnsi="宋体" w:eastAsia="宋体" w:cs="宋体"/>
                <w:b w:val="0"/>
                <w:bCs/>
                <w:color w:val="000000" w:themeColor="text1"/>
                <w:kern w:val="0"/>
                <w:sz w:val="18"/>
                <w:szCs w:val="18"/>
                <w:lang w:val="en-US"/>
                <w14:textFill>
                  <w14:solidFill>
                    <w14:schemeClr w14:val="tx1"/>
                  </w14:solidFill>
                </w14:textFill>
              </w:rPr>
            </w:pPr>
            <w:r>
              <w:rPr>
                <w:rFonts w:hint="eastAsia" w:ascii="宋体" w:hAnsi="宋体" w:eastAsia="宋体" w:cs="宋体"/>
                <w:b w:val="0"/>
                <w:bCs/>
                <w:color w:val="000000"/>
                <w:kern w:val="0"/>
                <w:sz w:val="18"/>
                <w:szCs w:val="18"/>
                <w:lang w:val="en-US" w:eastAsia="zh-CN"/>
              </w:rPr>
              <w:t>%</w:t>
            </w:r>
          </w:p>
        </w:tc>
        <w:tc>
          <w:tcPr>
            <w:tcW w:w="13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bidi w:val="0"/>
              <w:spacing w:line="240" w:lineRule="auto"/>
              <w:ind w:left="0" w:leftChars="0"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仿宋" w:hAnsi="仿宋" w:eastAsia="仿宋" w:cs="仿宋"/>
                <w:b w:val="0"/>
                <w:bCs/>
                <w:color w:val="000000" w:themeColor="text1"/>
                <w:kern w:val="0"/>
                <w:sz w:val="24"/>
                <w:szCs w:val="24"/>
                <w:lang w:val="en-US" w:eastAsia="zh-CN"/>
                <w14:textFill>
                  <w14:solidFill>
                    <w14:schemeClr w14:val="tx1"/>
                  </w14:solidFill>
                </w14:textFill>
              </w:rPr>
              <w:t>/</w:t>
            </w:r>
          </w:p>
        </w:tc>
        <w:tc>
          <w:tcPr>
            <w:tcW w:w="147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kinsoku/>
              <w:wordWrap/>
              <w:overflowPunct/>
              <w:topLinePunct w:val="0"/>
              <w:bidi w:val="0"/>
              <w:spacing w:line="240" w:lineRule="auto"/>
              <w:ind w:left="0" w:leftChars="0" w:firstLine="0" w:firstLineChars="0"/>
              <w:jc w:val="center"/>
              <w:rPr>
                <w:rFonts w:hint="eastAsia" w:ascii="宋体" w:hAnsi="宋体" w:eastAsia="宋体" w:cs="宋体"/>
                <w:b w:val="0"/>
                <w:bCs/>
                <w:color w:val="000000" w:themeColor="text1"/>
                <w:kern w:val="0"/>
                <w:sz w:val="18"/>
                <w:szCs w:val="18"/>
                <w:lang w:val="en-US" w:eastAsia="zh-CN" w:bidi="ar-SA"/>
                <w14:textFill>
                  <w14:solidFill>
                    <w14:schemeClr w14:val="tx1"/>
                  </w14:solidFill>
                </w14:textFill>
              </w:rPr>
            </w:pPr>
            <w:r>
              <w:rPr>
                <w:rFonts w:hint="eastAsia" w:ascii="仿宋" w:hAnsi="仿宋" w:eastAsia="仿宋" w:cs="仿宋"/>
                <w:b w:val="0"/>
                <w:bCs/>
                <w:color w:val="000000" w:themeColor="text1"/>
                <w:kern w:val="0"/>
                <w:sz w:val="24"/>
                <w:szCs w:val="24"/>
                <w:lang w:val="en-US" w:eastAsia="zh-CN"/>
                <w14:textFill>
                  <w14:solidFill>
                    <w14:schemeClr w14:val="tx1"/>
                  </w14:solidFill>
                </w14:textFill>
              </w:rPr>
              <w:t>/</w:t>
            </w:r>
          </w:p>
        </w:tc>
      </w:tr>
      <w:tr>
        <w:tblPrEx>
          <w:tblCellMar>
            <w:top w:w="0" w:type="dxa"/>
            <w:left w:w="108" w:type="dxa"/>
            <w:bottom w:w="0" w:type="dxa"/>
            <w:right w:w="108" w:type="dxa"/>
          </w:tblCellMar>
        </w:tblPrEx>
        <w:trPr>
          <w:trHeight w:val="437" w:hRule="atLeast"/>
          <w:jc w:val="center"/>
        </w:trPr>
        <w:tc>
          <w:tcPr>
            <w:tcW w:w="1926"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项目贷款</w:t>
            </w:r>
          </w:p>
        </w:tc>
        <w:tc>
          <w:tcPr>
            <w:tcW w:w="332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firstLine="360" w:firstLineChars="20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纳入碳排放核算的贷款月均融资余额</w:t>
            </w:r>
          </w:p>
        </w:tc>
        <w:tc>
          <w:tcPr>
            <w:tcW w:w="129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left="0" w:leftChars="0" w:firstLine="0" w:firstLineChars="0"/>
              <w:jc w:val="center"/>
              <w:rPr>
                <w:rFonts w:hint="default" w:ascii="宋体" w:hAnsi="宋体" w:eastAsia="宋体" w:cs="宋体"/>
                <w:b w:val="0"/>
                <w:bCs/>
                <w:color w:val="000000" w:themeColor="text1"/>
                <w:kern w:val="0"/>
                <w:sz w:val="18"/>
                <w:szCs w:val="18"/>
                <w:lang w:val="en-US"/>
                <w14:textFill>
                  <w14:solidFill>
                    <w14:schemeClr w14:val="tx1"/>
                  </w14:solidFill>
                </w14:textFill>
              </w:rPr>
            </w:pPr>
            <w:r>
              <w:rPr>
                <w:rFonts w:hint="eastAsia" w:ascii="宋体" w:hAnsi="宋体" w:eastAsia="宋体" w:cs="宋体"/>
                <w:b w:val="0"/>
                <w:bCs/>
                <w:color w:val="000000"/>
                <w:kern w:val="0"/>
                <w:sz w:val="18"/>
                <w:szCs w:val="18"/>
                <w:lang w:val="en-US" w:eastAsia="zh-CN"/>
              </w:rPr>
              <w:t>万元</w:t>
            </w:r>
          </w:p>
        </w:tc>
        <w:tc>
          <w:tcPr>
            <w:tcW w:w="132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left="0" w:leftChars="0"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10466340</w:t>
            </w:r>
          </w:p>
        </w:tc>
        <w:tc>
          <w:tcPr>
            <w:tcW w:w="147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widowControl/>
              <w:spacing w:line="240" w:lineRule="auto"/>
              <w:ind w:left="0" w:leftChars="0" w:firstLine="0" w:firstLineChars="0"/>
              <w:jc w:val="center"/>
              <w:rPr>
                <w:rFonts w:hint="eastAsia" w:ascii="宋体" w:hAnsi="宋体" w:eastAsia="宋体" w:cs="宋体"/>
                <w:b w:val="0"/>
                <w:bCs/>
                <w:color w:val="000000" w:themeColor="text1"/>
                <w:kern w:val="0"/>
                <w:sz w:val="18"/>
                <w:szCs w:val="18"/>
                <w:lang w:val="en-US" w:eastAsia="zh-CN" w:bidi="ar-SA"/>
                <w14:textFill>
                  <w14:solidFill>
                    <w14:schemeClr w14:val="tx1"/>
                  </w14:solidFill>
                </w14:textFill>
              </w:rPr>
            </w:pPr>
            <w:r>
              <w:rPr>
                <w:rFonts w:hint="eastAsia" w:ascii="宋体" w:hAnsi="宋体" w:eastAsia="宋体" w:cs="宋体"/>
                <w:b w:val="0"/>
                <w:bCs/>
                <w:color w:val="000000"/>
                <w:kern w:val="0"/>
                <w:sz w:val="18"/>
                <w:szCs w:val="18"/>
                <w:lang w:val="en-US" w:eastAsia="zh-CN"/>
              </w:rPr>
              <w:t>7369632.34462</w:t>
            </w:r>
          </w:p>
        </w:tc>
      </w:tr>
      <w:tr>
        <w:tblPrEx>
          <w:tblCellMar>
            <w:top w:w="0" w:type="dxa"/>
            <w:left w:w="108" w:type="dxa"/>
            <w:bottom w:w="0" w:type="dxa"/>
            <w:right w:w="108" w:type="dxa"/>
          </w:tblCellMar>
        </w:tblPrEx>
        <w:trPr>
          <w:trHeight w:val="437" w:hRule="atLeast"/>
          <w:jc w:val="center"/>
        </w:trPr>
        <w:tc>
          <w:tcPr>
            <w:tcW w:w="1926"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项目贷款</w:t>
            </w:r>
          </w:p>
        </w:tc>
        <w:tc>
          <w:tcPr>
            <w:tcW w:w="332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firstLine="360" w:firstLineChars="20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投融资碳排放强度*</w:t>
            </w:r>
          </w:p>
        </w:tc>
        <w:tc>
          <w:tcPr>
            <w:tcW w:w="129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left="0" w:leftChars="0" w:firstLine="0" w:firstLineChars="0"/>
              <w:jc w:val="center"/>
              <w:rPr>
                <w:rFonts w:hint="default" w:ascii="宋体" w:hAnsi="宋体" w:eastAsia="宋体" w:cs="宋体"/>
                <w:b w:val="0"/>
                <w:bCs/>
                <w:color w:val="000000" w:themeColor="text1"/>
                <w:kern w:val="0"/>
                <w:sz w:val="18"/>
                <w:szCs w:val="18"/>
                <w:lang w:val="en-US"/>
                <w14:textFill>
                  <w14:solidFill>
                    <w14:schemeClr w14:val="tx1"/>
                  </w14:solidFill>
                </w14:textFill>
              </w:rPr>
            </w:pPr>
            <w:r>
              <w:rPr>
                <w:rFonts w:hint="eastAsia" w:ascii="宋体" w:hAnsi="宋体" w:eastAsia="宋体" w:cs="宋体"/>
                <w:b w:val="0"/>
                <w:bCs/>
                <w:color w:val="000000"/>
                <w:kern w:val="0"/>
                <w:sz w:val="18"/>
                <w:szCs w:val="18"/>
                <w:lang w:val="en-US" w:eastAsia="zh-CN"/>
              </w:rPr>
              <w:t>tCO2e/万元</w:t>
            </w:r>
          </w:p>
        </w:tc>
        <w:tc>
          <w:tcPr>
            <w:tcW w:w="132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left="0" w:leftChars="0"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0.00213</w:t>
            </w:r>
          </w:p>
        </w:tc>
        <w:tc>
          <w:tcPr>
            <w:tcW w:w="147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widowControl/>
              <w:spacing w:line="240" w:lineRule="auto"/>
              <w:ind w:left="0" w:leftChars="0" w:firstLine="0" w:firstLineChars="0"/>
              <w:jc w:val="center"/>
              <w:rPr>
                <w:rFonts w:hint="eastAsia" w:ascii="宋体" w:hAnsi="宋体" w:eastAsia="宋体" w:cs="宋体"/>
                <w:b w:val="0"/>
                <w:bCs/>
                <w:color w:val="000000" w:themeColor="text1"/>
                <w:kern w:val="0"/>
                <w:sz w:val="18"/>
                <w:szCs w:val="18"/>
                <w:lang w:val="en-US" w:eastAsia="zh-CN" w:bidi="ar-SA"/>
                <w14:textFill>
                  <w14:solidFill>
                    <w14:schemeClr w14:val="tx1"/>
                  </w14:solidFill>
                </w14:textFill>
              </w:rPr>
            </w:pPr>
            <w:r>
              <w:rPr>
                <w:rFonts w:hint="eastAsia" w:ascii="宋体" w:hAnsi="宋体" w:eastAsia="宋体" w:cs="宋体"/>
                <w:b w:val="0"/>
                <w:bCs/>
                <w:color w:val="000000"/>
                <w:kern w:val="0"/>
                <w:sz w:val="18"/>
                <w:szCs w:val="18"/>
                <w:lang w:val="en-US" w:eastAsia="zh-CN"/>
              </w:rPr>
              <w:t>0.00186</w:t>
            </w:r>
          </w:p>
        </w:tc>
      </w:tr>
      <w:tr>
        <w:tblPrEx>
          <w:tblCellMar>
            <w:top w:w="0" w:type="dxa"/>
            <w:left w:w="108" w:type="dxa"/>
            <w:bottom w:w="0" w:type="dxa"/>
            <w:right w:w="108" w:type="dxa"/>
          </w:tblCellMar>
        </w:tblPrEx>
        <w:trPr>
          <w:trHeight w:val="437" w:hRule="atLeast"/>
          <w:jc w:val="center"/>
        </w:trPr>
        <w:tc>
          <w:tcPr>
            <w:tcW w:w="1926"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非项目贷款</w:t>
            </w:r>
          </w:p>
        </w:tc>
        <w:tc>
          <w:tcPr>
            <w:tcW w:w="332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firstLine="360" w:firstLineChars="20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投融资碳排放量</w:t>
            </w:r>
          </w:p>
        </w:tc>
        <w:tc>
          <w:tcPr>
            <w:tcW w:w="129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left="0" w:leftChars="0" w:firstLine="0" w:firstLineChars="0"/>
              <w:jc w:val="center"/>
              <w:rPr>
                <w:rFonts w:hint="default" w:ascii="宋体" w:hAnsi="宋体" w:eastAsia="宋体" w:cs="宋体"/>
                <w:b w:val="0"/>
                <w:bCs/>
                <w:color w:val="000000" w:themeColor="text1"/>
                <w:kern w:val="0"/>
                <w:sz w:val="18"/>
                <w:szCs w:val="18"/>
                <w:lang w:val="en-US"/>
                <w14:textFill>
                  <w14:solidFill>
                    <w14:schemeClr w14:val="tx1"/>
                  </w14:solidFill>
                </w14:textFill>
              </w:rPr>
            </w:pPr>
            <w:r>
              <w:rPr>
                <w:rFonts w:hint="eastAsia" w:ascii="宋体" w:hAnsi="宋体" w:eastAsia="宋体" w:cs="宋体"/>
                <w:b w:val="0"/>
                <w:bCs/>
                <w:color w:val="000000"/>
                <w:kern w:val="0"/>
                <w:sz w:val="18"/>
                <w:szCs w:val="18"/>
                <w:lang w:val="en-US" w:eastAsia="zh-CN"/>
              </w:rPr>
              <w:t>tCO2e</w:t>
            </w:r>
          </w:p>
        </w:tc>
        <w:tc>
          <w:tcPr>
            <w:tcW w:w="132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left="0" w:leftChars="0"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351889.12282</w:t>
            </w:r>
          </w:p>
        </w:tc>
        <w:tc>
          <w:tcPr>
            <w:tcW w:w="147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widowControl/>
              <w:spacing w:line="240" w:lineRule="auto"/>
              <w:ind w:left="0" w:leftChars="0" w:firstLine="0" w:firstLineChars="0"/>
              <w:jc w:val="center"/>
              <w:rPr>
                <w:rFonts w:hint="eastAsia" w:ascii="宋体" w:hAnsi="宋体" w:eastAsia="宋体" w:cs="宋体"/>
                <w:b w:val="0"/>
                <w:bCs/>
                <w:color w:val="000000" w:themeColor="text1"/>
                <w:kern w:val="0"/>
                <w:sz w:val="18"/>
                <w:szCs w:val="18"/>
                <w:lang w:val="en-US" w:eastAsia="zh-CN" w:bidi="ar-SA"/>
                <w14:textFill>
                  <w14:solidFill>
                    <w14:schemeClr w14:val="tx1"/>
                  </w14:solidFill>
                </w14:textFill>
              </w:rPr>
            </w:pPr>
            <w:r>
              <w:rPr>
                <w:rFonts w:hint="eastAsia" w:ascii="宋体" w:hAnsi="宋体" w:eastAsia="宋体" w:cs="宋体"/>
                <w:b w:val="0"/>
                <w:bCs/>
                <w:color w:val="000000"/>
                <w:kern w:val="0"/>
                <w:sz w:val="18"/>
                <w:szCs w:val="18"/>
                <w:lang w:val="en-US" w:eastAsia="zh-CN"/>
              </w:rPr>
              <w:t>200822.2223</w:t>
            </w:r>
          </w:p>
        </w:tc>
      </w:tr>
      <w:tr>
        <w:tblPrEx>
          <w:tblCellMar>
            <w:top w:w="0" w:type="dxa"/>
            <w:left w:w="108" w:type="dxa"/>
            <w:bottom w:w="0" w:type="dxa"/>
            <w:right w:w="108" w:type="dxa"/>
          </w:tblCellMar>
        </w:tblPrEx>
        <w:trPr>
          <w:trHeight w:val="437" w:hRule="atLeast"/>
          <w:jc w:val="center"/>
        </w:trPr>
        <w:tc>
          <w:tcPr>
            <w:tcW w:w="1926"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非项目贷款</w:t>
            </w:r>
          </w:p>
        </w:tc>
        <w:tc>
          <w:tcPr>
            <w:tcW w:w="332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firstLine="360" w:firstLineChars="20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纳入碳排放核算的投融资业务比例</w:t>
            </w:r>
          </w:p>
        </w:tc>
        <w:tc>
          <w:tcPr>
            <w:tcW w:w="129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left="0" w:leftChars="0" w:firstLine="0" w:firstLineChars="0"/>
              <w:jc w:val="center"/>
              <w:rPr>
                <w:rFonts w:hint="default" w:ascii="宋体" w:hAnsi="宋体" w:eastAsia="宋体" w:cs="宋体"/>
                <w:b w:val="0"/>
                <w:bCs/>
                <w:color w:val="000000" w:themeColor="text1"/>
                <w:kern w:val="0"/>
                <w:sz w:val="18"/>
                <w:szCs w:val="18"/>
                <w:lang w:val="en-US"/>
                <w14:textFill>
                  <w14:solidFill>
                    <w14:schemeClr w14:val="tx1"/>
                  </w14:solidFill>
                </w14:textFill>
              </w:rPr>
            </w:pPr>
            <w:r>
              <w:rPr>
                <w:rFonts w:hint="eastAsia" w:ascii="宋体" w:hAnsi="宋体" w:eastAsia="宋体" w:cs="宋体"/>
                <w:b w:val="0"/>
                <w:bCs/>
                <w:color w:val="000000"/>
                <w:kern w:val="0"/>
                <w:sz w:val="18"/>
                <w:szCs w:val="18"/>
                <w:lang w:val="en-US" w:eastAsia="zh-CN"/>
              </w:rPr>
              <w:t>%</w:t>
            </w:r>
          </w:p>
        </w:tc>
        <w:tc>
          <w:tcPr>
            <w:tcW w:w="13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bidi w:val="0"/>
              <w:spacing w:line="240" w:lineRule="auto"/>
              <w:ind w:left="0" w:leftChars="0"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仿宋" w:hAnsi="仿宋" w:eastAsia="仿宋" w:cs="仿宋"/>
                <w:b w:val="0"/>
                <w:bCs/>
                <w:color w:val="000000" w:themeColor="text1"/>
                <w:kern w:val="0"/>
                <w:sz w:val="24"/>
                <w:szCs w:val="24"/>
                <w:lang w:val="en-US" w:eastAsia="zh-CN"/>
                <w14:textFill>
                  <w14:solidFill>
                    <w14:schemeClr w14:val="tx1"/>
                  </w14:solidFill>
                </w14:textFill>
              </w:rPr>
              <w:t>/</w:t>
            </w:r>
          </w:p>
        </w:tc>
        <w:tc>
          <w:tcPr>
            <w:tcW w:w="147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kinsoku/>
              <w:wordWrap/>
              <w:overflowPunct/>
              <w:topLinePunct w:val="0"/>
              <w:bidi w:val="0"/>
              <w:spacing w:line="240" w:lineRule="auto"/>
              <w:ind w:left="0" w:leftChars="0" w:firstLine="0" w:firstLineChars="0"/>
              <w:jc w:val="center"/>
              <w:rPr>
                <w:rFonts w:hint="eastAsia" w:ascii="宋体" w:hAnsi="宋体" w:eastAsia="宋体" w:cs="宋体"/>
                <w:b w:val="0"/>
                <w:bCs/>
                <w:color w:val="000000" w:themeColor="text1"/>
                <w:kern w:val="0"/>
                <w:sz w:val="18"/>
                <w:szCs w:val="18"/>
                <w:lang w:val="en-US" w:eastAsia="zh-CN" w:bidi="ar-SA"/>
                <w14:textFill>
                  <w14:solidFill>
                    <w14:schemeClr w14:val="tx1"/>
                  </w14:solidFill>
                </w14:textFill>
              </w:rPr>
            </w:pPr>
            <w:r>
              <w:rPr>
                <w:rFonts w:hint="eastAsia" w:ascii="仿宋" w:hAnsi="仿宋" w:eastAsia="仿宋" w:cs="仿宋"/>
                <w:b w:val="0"/>
                <w:bCs/>
                <w:color w:val="000000" w:themeColor="text1"/>
                <w:kern w:val="0"/>
                <w:sz w:val="24"/>
                <w:szCs w:val="24"/>
                <w:lang w:val="en-US" w:eastAsia="zh-CN"/>
                <w14:textFill>
                  <w14:solidFill>
                    <w14:schemeClr w14:val="tx1"/>
                  </w14:solidFill>
                </w14:textFill>
              </w:rPr>
              <w:t>/</w:t>
            </w:r>
          </w:p>
        </w:tc>
      </w:tr>
      <w:tr>
        <w:tblPrEx>
          <w:tblCellMar>
            <w:top w:w="0" w:type="dxa"/>
            <w:left w:w="108" w:type="dxa"/>
            <w:bottom w:w="0" w:type="dxa"/>
            <w:right w:w="108" w:type="dxa"/>
          </w:tblCellMar>
        </w:tblPrEx>
        <w:trPr>
          <w:trHeight w:val="437" w:hRule="atLeast"/>
          <w:jc w:val="center"/>
        </w:trPr>
        <w:tc>
          <w:tcPr>
            <w:tcW w:w="1926"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非项目贷款</w:t>
            </w:r>
          </w:p>
        </w:tc>
        <w:tc>
          <w:tcPr>
            <w:tcW w:w="332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firstLine="360" w:firstLineChars="20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纳入碳排放核算的贷款月均融资余额</w:t>
            </w:r>
          </w:p>
        </w:tc>
        <w:tc>
          <w:tcPr>
            <w:tcW w:w="129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left="0" w:leftChars="0" w:firstLine="0" w:firstLineChars="0"/>
              <w:jc w:val="center"/>
              <w:rPr>
                <w:rFonts w:hint="default" w:ascii="宋体" w:hAnsi="宋体" w:eastAsia="宋体" w:cs="宋体"/>
                <w:b w:val="0"/>
                <w:bCs/>
                <w:color w:val="000000" w:themeColor="text1"/>
                <w:kern w:val="0"/>
                <w:sz w:val="18"/>
                <w:szCs w:val="18"/>
                <w:lang w:val="en-US"/>
                <w14:textFill>
                  <w14:solidFill>
                    <w14:schemeClr w14:val="tx1"/>
                  </w14:solidFill>
                </w14:textFill>
              </w:rPr>
            </w:pPr>
            <w:r>
              <w:rPr>
                <w:rFonts w:hint="eastAsia" w:ascii="宋体" w:hAnsi="宋体" w:eastAsia="宋体" w:cs="宋体"/>
                <w:b w:val="0"/>
                <w:bCs/>
                <w:color w:val="000000"/>
                <w:kern w:val="0"/>
                <w:sz w:val="18"/>
                <w:szCs w:val="18"/>
                <w:lang w:val="en-US" w:eastAsia="zh-CN"/>
              </w:rPr>
              <w:t>万元</w:t>
            </w:r>
          </w:p>
        </w:tc>
        <w:tc>
          <w:tcPr>
            <w:tcW w:w="132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left="0" w:leftChars="0"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4201407.94</w:t>
            </w:r>
          </w:p>
        </w:tc>
        <w:tc>
          <w:tcPr>
            <w:tcW w:w="147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widowControl/>
              <w:spacing w:line="240" w:lineRule="auto"/>
              <w:ind w:left="0" w:leftChars="0" w:firstLine="0" w:firstLineChars="0"/>
              <w:jc w:val="center"/>
              <w:rPr>
                <w:rFonts w:hint="eastAsia" w:ascii="宋体" w:hAnsi="宋体" w:eastAsia="宋体" w:cs="宋体"/>
                <w:b w:val="0"/>
                <w:bCs/>
                <w:color w:val="000000" w:themeColor="text1"/>
                <w:kern w:val="0"/>
                <w:sz w:val="18"/>
                <w:szCs w:val="18"/>
                <w:lang w:val="en-US" w:eastAsia="zh-CN" w:bidi="ar-SA"/>
                <w14:textFill>
                  <w14:solidFill>
                    <w14:schemeClr w14:val="tx1"/>
                  </w14:solidFill>
                </w14:textFill>
              </w:rPr>
            </w:pPr>
            <w:r>
              <w:rPr>
                <w:rFonts w:hint="eastAsia" w:ascii="宋体" w:hAnsi="宋体" w:eastAsia="宋体" w:cs="宋体"/>
                <w:b w:val="0"/>
                <w:bCs/>
                <w:color w:val="000000"/>
                <w:kern w:val="0"/>
                <w:sz w:val="18"/>
                <w:szCs w:val="18"/>
                <w:lang w:val="en-US" w:eastAsia="zh-CN"/>
              </w:rPr>
              <w:t>3052986.07</w:t>
            </w:r>
          </w:p>
        </w:tc>
      </w:tr>
      <w:tr>
        <w:tblPrEx>
          <w:tblCellMar>
            <w:top w:w="0" w:type="dxa"/>
            <w:left w:w="108" w:type="dxa"/>
            <w:bottom w:w="0" w:type="dxa"/>
            <w:right w:w="108" w:type="dxa"/>
          </w:tblCellMar>
        </w:tblPrEx>
        <w:trPr>
          <w:trHeight w:val="437" w:hRule="atLeast"/>
          <w:jc w:val="center"/>
        </w:trPr>
        <w:tc>
          <w:tcPr>
            <w:tcW w:w="1926"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非项目贷款</w:t>
            </w:r>
          </w:p>
        </w:tc>
        <w:tc>
          <w:tcPr>
            <w:tcW w:w="332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firstLine="360" w:firstLineChars="20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投融资碳排放强度*</w:t>
            </w:r>
          </w:p>
        </w:tc>
        <w:tc>
          <w:tcPr>
            <w:tcW w:w="129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left="0" w:leftChars="0" w:firstLine="0" w:firstLineChars="0"/>
              <w:jc w:val="center"/>
              <w:rPr>
                <w:rFonts w:hint="default" w:ascii="宋体" w:hAnsi="宋体" w:eastAsia="宋体" w:cs="宋体"/>
                <w:b w:val="0"/>
                <w:bCs/>
                <w:color w:val="000000" w:themeColor="text1"/>
                <w:kern w:val="0"/>
                <w:sz w:val="18"/>
                <w:szCs w:val="18"/>
                <w:lang w:val="en-US"/>
                <w14:textFill>
                  <w14:solidFill>
                    <w14:schemeClr w14:val="tx1"/>
                  </w14:solidFill>
                </w14:textFill>
              </w:rPr>
            </w:pPr>
            <w:r>
              <w:rPr>
                <w:rFonts w:hint="eastAsia" w:ascii="宋体" w:hAnsi="宋体" w:eastAsia="宋体" w:cs="宋体"/>
                <w:b w:val="0"/>
                <w:bCs/>
                <w:color w:val="000000"/>
                <w:kern w:val="0"/>
                <w:sz w:val="18"/>
                <w:szCs w:val="18"/>
                <w:lang w:val="en-US" w:eastAsia="zh-CN"/>
              </w:rPr>
              <w:t>tCO2e/万元</w:t>
            </w:r>
          </w:p>
        </w:tc>
        <w:tc>
          <w:tcPr>
            <w:tcW w:w="132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left="0" w:leftChars="0"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0.08376</w:t>
            </w:r>
          </w:p>
        </w:tc>
        <w:tc>
          <w:tcPr>
            <w:tcW w:w="147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widowControl/>
              <w:spacing w:line="240" w:lineRule="auto"/>
              <w:ind w:left="0" w:leftChars="0" w:firstLine="0" w:firstLineChars="0"/>
              <w:jc w:val="center"/>
              <w:rPr>
                <w:rFonts w:hint="eastAsia" w:ascii="宋体" w:hAnsi="宋体" w:eastAsia="宋体" w:cs="宋体"/>
                <w:b w:val="0"/>
                <w:bCs/>
                <w:color w:val="000000" w:themeColor="text1"/>
                <w:kern w:val="0"/>
                <w:sz w:val="18"/>
                <w:szCs w:val="18"/>
                <w:lang w:val="en-US" w:eastAsia="zh-CN" w:bidi="ar-SA"/>
                <w14:textFill>
                  <w14:solidFill>
                    <w14:schemeClr w14:val="tx1"/>
                  </w14:solidFill>
                </w14:textFill>
              </w:rPr>
            </w:pPr>
            <w:r>
              <w:rPr>
                <w:rFonts w:hint="eastAsia" w:ascii="宋体" w:hAnsi="宋体" w:eastAsia="宋体" w:cs="宋体"/>
                <w:b w:val="0"/>
                <w:bCs/>
                <w:color w:val="000000"/>
                <w:kern w:val="0"/>
                <w:sz w:val="18"/>
                <w:szCs w:val="18"/>
                <w:lang w:val="en-US" w:eastAsia="zh-CN"/>
              </w:rPr>
              <w:t>0.06578</w:t>
            </w:r>
          </w:p>
        </w:tc>
      </w:tr>
      <w:tr>
        <w:tblPrEx>
          <w:tblCellMar>
            <w:top w:w="0" w:type="dxa"/>
            <w:left w:w="108" w:type="dxa"/>
            <w:bottom w:w="0" w:type="dxa"/>
            <w:right w:w="108" w:type="dxa"/>
          </w:tblCellMar>
        </w:tblPrEx>
        <w:trPr>
          <w:trHeight w:val="437" w:hRule="atLeast"/>
          <w:jc w:val="center"/>
        </w:trPr>
        <w:tc>
          <w:tcPr>
            <w:tcW w:w="1926"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房地产贷款</w:t>
            </w:r>
          </w:p>
        </w:tc>
        <w:tc>
          <w:tcPr>
            <w:tcW w:w="332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firstLine="360" w:firstLineChars="20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投融资碳排放量</w:t>
            </w:r>
          </w:p>
        </w:tc>
        <w:tc>
          <w:tcPr>
            <w:tcW w:w="129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left="0" w:leftChars="0" w:firstLine="0" w:firstLineChars="0"/>
              <w:jc w:val="center"/>
              <w:rPr>
                <w:rFonts w:hint="default" w:ascii="宋体" w:hAnsi="宋体" w:eastAsia="宋体" w:cs="宋体"/>
                <w:b w:val="0"/>
                <w:bCs/>
                <w:color w:val="000000" w:themeColor="text1"/>
                <w:kern w:val="0"/>
                <w:sz w:val="18"/>
                <w:szCs w:val="18"/>
                <w:lang w:val="en-US"/>
                <w14:textFill>
                  <w14:solidFill>
                    <w14:schemeClr w14:val="tx1"/>
                  </w14:solidFill>
                </w14:textFill>
              </w:rPr>
            </w:pPr>
            <w:r>
              <w:rPr>
                <w:rFonts w:hint="eastAsia" w:ascii="宋体" w:hAnsi="宋体" w:eastAsia="宋体" w:cs="宋体"/>
                <w:b w:val="0"/>
                <w:bCs/>
                <w:color w:val="000000"/>
                <w:kern w:val="0"/>
                <w:sz w:val="18"/>
                <w:szCs w:val="18"/>
                <w:lang w:val="en-US" w:eastAsia="zh-CN"/>
              </w:rPr>
              <w:t>tCO2e</w:t>
            </w:r>
          </w:p>
        </w:tc>
        <w:tc>
          <w:tcPr>
            <w:tcW w:w="132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left="0" w:leftChars="0"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不核算</w:t>
            </w:r>
          </w:p>
        </w:tc>
        <w:tc>
          <w:tcPr>
            <w:tcW w:w="147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widowControl/>
              <w:spacing w:line="240" w:lineRule="auto"/>
              <w:ind w:left="0" w:leftChars="0" w:firstLine="0" w:firstLineChars="0"/>
              <w:jc w:val="center"/>
              <w:rPr>
                <w:rFonts w:hint="eastAsia" w:ascii="宋体" w:hAnsi="宋体" w:eastAsia="宋体" w:cs="宋体"/>
                <w:b w:val="0"/>
                <w:bCs/>
                <w:color w:val="000000" w:themeColor="text1"/>
                <w:kern w:val="0"/>
                <w:sz w:val="18"/>
                <w:szCs w:val="18"/>
                <w:lang w:val="en-US" w:eastAsia="zh-CN" w:bidi="ar-SA"/>
                <w14:textFill>
                  <w14:solidFill>
                    <w14:schemeClr w14:val="tx1"/>
                  </w14:solidFill>
                </w14:textFill>
              </w:rPr>
            </w:pPr>
            <w:r>
              <w:rPr>
                <w:rFonts w:hint="eastAsia" w:ascii="宋体" w:hAnsi="宋体" w:eastAsia="宋体" w:cs="宋体"/>
                <w:b w:val="0"/>
                <w:bCs/>
                <w:color w:val="000000"/>
                <w:kern w:val="0"/>
                <w:sz w:val="18"/>
                <w:szCs w:val="18"/>
                <w:lang w:val="en-US" w:eastAsia="zh-CN"/>
              </w:rPr>
              <w:t>不核算</w:t>
            </w:r>
          </w:p>
        </w:tc>
      </w:tr>
      <w:tr>
        <w:tblPrEx>
          <w:tblCellMar>
            <w:top w:w="0" w:type="dxa"/>
            <w:left w:w="108" w:type="dxa"/>
            <w:bottom w:w="0" w:type="dxa"/>
            <w:right w:w="108" w:type="dxa"/>
          </w:tblCellMar>
        </w:tblPrEx>
        <w:trPr>
          <w:trHeight w:val="437" w:hRule="atLeast"/>
          <w:jc w:val="center"/>
        </w:trPr>
        <w:tc>
          <w:tcPr>
            <w:tcW w:w="1926"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房地产贷款</w:t>
            </w:r>
          </w:p>
        </w:tc>
        <w:tc>
          <w:tcPr>
            <w:tcW w:w="332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firstLine="360" w:firstLineChars="20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纳入碳排放核算的投融资业务比例</w:t>
            </w:r>
          </w:p>
        </w:tc>
        <w:tc>
          <w:tcPr>
            <w:tcW w:w="129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left="0" w:leftChars="0" w:firstLine="0" w:firstLineChars="0"/>
              <w:jc w:val="center"/>
              <w:rPr>
                <w:rFonts w:hint="default" w:ascii="宋体" w:hAnsi="宋体" w:eastAsia="宋体" w:cs="宋体"/>
                <w:b w:val="0"/>
                <w:bCs/>
                <w:color w:val="000000" w:themeColor="text1"/>
                <w:kern w:val="0"/>
                <w:sz w:val="18"/>
                <w:szCs w:val="18"/>
                <w:lang w:val="en-US"/>
                <w14:textFill>
                  <w14:solidFill>
                    <w14:schemeClr w14:val="tx1"/>
                  </w14:solidFill>
                </w14:textFill>
              </w:rPr>
            </w:pPr>
            <w:r>
              <w:rPr>
                <w:rFonts w:hint="eastAsia" w:ascii="宋体" w:hAnsi="宋体" w:eastAsia="宋体" w:cs="宋体"/>
                <w:b w:val="0"/>
                <w:bCs/>
                <w:color w:val="000000"/>
                <w:kern w:val="0"/>
                <w:sz w:val="18"/>
                <w:szCs w:val="18"/>
                <w:lang w:val="en-US" w:eastAsia="zh-CN"/>
              </w:rPr>
              <w:t>%</w:t>
            </w:r>
          </w:p>
        </w:tc>
        <w:tc>
          <w:tcPr>
            <w:tcW w:w="132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left="0" w:leftChars="0"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不核算</w:t>
            </w:r>
          </w:p>
        </w:tc>
        <w:tc>
          <w:tcPr>
            <w:tcW w:w="147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widowControl/>
              <w:spacing w:line="240" w:lineRule="auto"/>
              <w:ind w:left="0" w:leftChars="0" w:firstLine="0" w:firstLineChars="0"/>
              <w:jc w:val="center"/>
              <w:rPr>
                <w:rFonts w:hint="eastAsia" w:ascii="宋体" w:hAnsi="宋体" w:eastAsia="宋体" w:cs="宋体"/>
                <w:b w:val="0"/>
                <w:bCs/>
                <w:color w:val="000000" w:themeColor="text1"/>
                <w:kern w:val="0"/>
                <w:sz w:val="18"/>
                <w:szCs w:val="18"/>
                <w:lang w:val="en-US" w:eastAsia="zh-CN" w:bidi="ar-SA"/>
                <w14:textFill>
                  <w14:solidFill>
                    <w14:schemeClr w14:val="tx1"/>
                  </w14:solidFill>
                </w14:textFill>
              </w:rPr>
            </w:pPr>
            <w:r>
              <w:rPr>
                <w:rFonts w:hint="eastAsia" w:ascii="宋体" w:hAnsi="宋体" w:eastAsia="宋体" w:cs="宋体"/>
                <w:b w:val="0"/>
                <w:bCs/>
                <w:color w:val="000000"/>
                <w:kern w:val="0"/>
                <w:sz w:val="18"/>
                <w:szCs w:val="18"/>
                <w:lang w:val="en-US" w:eastAsia="zh-CN"/>
              </w:rPr>
              <w:t>不核算</w:t>
            </w:r>
          </w:p>
        </w:tc>
      </w:tr>
      <w:tr>
        <w:tblPrEx>
          <w:tblCellMar>
            <w:top w:w="0" w:type="dxa"/>
            <w:left w:w="108" w:type="dxa"/>
            <w:bottom w:w="0" w:type="dxa"/>
            <w:right w:w="108" w:type="dxa"/>
          </w:tblCellMar>
        </w:tblPrEx>
        <w:trPr>
          <w:trHeight w:val="437" w:hRule="atLeast"/>
          <w:jc w:val="center"/>
        </w:trPr>
        <w:tc>
          <w:tcPr>
            <w:tcW w:w="1926"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房地产贷款</w:t>
            </w:r>
          </w:p>
        </w:tc>
        <w:tc>
          <w:tcPr>
            <w:tcW w:w="332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firstLine="360" w:firstLineChars="20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纳入碳排放核算的贷款月均融资余额</w:t>
            </w:r>
          </w:p>
        </w:tc>
        <w:tc>
          <w:tcPr>
            <w:tcW w:w="129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left="0" w:leftChars="0" w:firstLine="0" w:firstLineChars="0"/>
              <w:jc w:val="center"/>
              <w:rPr>
                <w:rFonts w:hint="default" w:ascii="宋体" w:hAnsi="宋体" w:eastAsia="宋体" w:cs="宋体"/>
                <w:b w:val="0"/>
                <w:bCs/>
                <w:color w:val="000000" w:themeColor="text1"/>
                <w:kern w:val="0"/>
                <w:sz w:val="18"/>
                <w:szCs w:val="18"/>
                <w:lang w:val="en-US"/>
                <w14:textFill>
                  <w14:solidFill>
                    <w14:schemeClr w14:val="tx1"/>
                  </w14:solidFill>
                </w14:textFill>
              </w:rPr>
            </w:pPr>
            <w:r>
              <w:rPr>
                <w:rFonts w:hint="eastAsia" w:ascii="宋体" w:hAnsi="宋体" w:eastAsia="宋体" w:cs="宋体"/>
                <w:b w:val="0"/>
                <w:bCs/>
                <w:color w:val="000000"/>
                <w:kern w:val="0"/>
                <w:sz w:val="18"/>
                <w:szCs w:val="18"/>
                <w:lang w:val="en-US" w:eastAsia="zh-CN"/>
              </w:rPr>
              <w:t>万元</w:t>
            </w:r>
          </w:p>
        </w:tc>
        <w:tc>
          <w:tcPr>
            <w:tcW w:w="132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left="0" w:leftChars="0"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不核算</w:t>
            </w:r>
          </w:p>
        </w:tc>
        <w:tc>
          <w:tcPr>
            <w:tcW w:w="147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widowControl/>
              <w:spacing w:line="240" w:lineRule="auto"/>
              <w:ind w:left="0" w:leftChars="0" w:firstLine="0" w:firstLineChars="0"/>
              <w:jc w:val="center"/>
              <w:rPr>
                <w:rFonts w:hint="eastAsia" w:ascii="宋体" w:hAnsi="宋体" w:eastAsia="宋体" w:cs="宋体"/>
                <w:b w:val="0"/>
                <w:bCs/>
                <w:color w:val="000000" w:themeColor="text1"/>
                <w:kern w:val="0"/>
                <w:sz w:val="18"/>
                <w:szCs w:val="18"/>
                <w:lang w:val="en-US" w:eastAsia="zh-CN" w:bidi="ar-SA"/>
                <w14:textFill>
                  <w14:solidFill>
                    <w14:schemeClr w14:val="tx1"/>
                  </w14:solidFill>
                </w14:textFill>
              </w:rPr>
            </w:pPr>
            <w:r>
              <w:rPr>
                <w:rFonts w:hint="eastAsia" w:ascii="宋体" w:hAnsi="宋体" w:eastAsia="宋体" w:cs="宋体"/>
                <w:b w:val="0"/>
                <w:bCs/>
                <w:color w:val="000000"/>
                <w:kern w:val="0"/>
                <w:sz w:val="18"/>
                <w:szCs w:val="18"/>
                <w:lang w:val="en-US" w:eastAsia="zh-CN"/>
              </w:rPr>
              <w:t>不核算</w:t>
            </w:r>
          </w:p>
        </w:tc>
      </w:tr>
      <w:tr>
        <w:tblPrEx>
          <w:tblCellMar>
            <w:top w:w="0" w:type="dxa"/>
            <w:left w:w="108" w:type="dxa"/>
            <w:bottom w:w="0" w:type="dxa"/>
            <w:right w:w="108" w:type="dxa"/>
          </w:tblCellMar>
        </w:tblPrEx>
        <w:trPr>
          <w:trHeight w:val="437" w:hRule="atLeast"/>
          <w:jc w:val="center"/>
        </w:trPr>
        <w:tc>
          <w:tcPr>
            <w:tcW w:w="1926"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房地产贷款</w:t>
            </w:r>
          </w:p>
        </w:tc>
        <w:tc>
          <w:tcPr>
            <w:tcW w:w="332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firstLine="360" w:firstLineChars="20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投融资碳排放强度*</w:t>
            </w:r>
          </w:p>
        </w:tc>
        <w:tc>
          <w:tcPr>
            <w:tcW w:w="129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left="0" w:leftChars="0" w:firstLine="0" w:firstLineChars="0"/>
              <w:jc w:val="center"/>
              <w:rPr>
                <w:rFonts w:hint="default" w:ascii="宋体" w:hAnsi="宋体" w:eastAsia="宋体" w:cs="宋体"/>
                <w:b w:val="0"/>
                <w:bCs/>
                <w:color w:val="000000" w:themeColor="text1"/>
                <w:kern w:val="0"/>
                <w:sz w:val="18"/>
                <w:szCs w:val="18"/>
                <w:lang w:val="en-US"/>
                <w14:textFill>
                  <w14:solidFill>
                    <w14:schemeClr w14:val="tx1"/>
                  </w14:solidFill>
                </w14:textFill>
              </w:rPr>
            </w:pPr>
            <w:r>
              <w:rPr>
                <w:rFonts w:hint="eastAsia" w:ascii="宋体" w:hAnsi="宋体" w:eastAsia="宋体" w:cs="宋体"/>
                <w:b w:val="0"/>
                <w:bCs/>
                <w:color w:val="000000"/>
                <w:kern w:val="0"/>
                <w:sz w:val="18"/>
                <w:szCs w:val="18"/>
                <w:lang w:val="en-US" w:eastAsia="zh-CN"/>
              </w:rPr>
              <w:t>tCO2e/万元</w:t>
            </w:r>
          </w:p>
        </w:tc>
        <w:tc>
          <w:tcPr>
            <w:tcW w:w="132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left="0" w:leftChars="0"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不核算</w:t>
            </w:r>
          </w:p>
        </w:tc>
        <w:tc>
          <w:tcPr>
            <w:tcW w:w="147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widowControl/>
              <w:spacing w:line="240" w:lineRule="auto"/>
              <w:ind w:left="0" w:leftChars="0" w:firstLine="0" w:firstLineChars="0"/>
              <w:jc w:val="center"/>
              <w:rPr>
                <w:rFonts w:hint="eastAsia" w:ascii="宋体" w:hAnsi="宋体" w:eastAsia="宋体" w:cs="宋体"/>
                <w:b w:val="0"/>
                <w:bCs/>
                <w:color w:val="000000" w:themeColor="text1"/>
                <w:kern w:val="0"/>
                <w:sz w:val="18"/>
                <w:szCs w:val="18"/>
                <w:lang w:val="en-US" w:eastAsia="zh-CN" w:bidi="ar-SA"/>
                <w14:textFill>
                  <w14:solidFill>
                    <w14:schemeClr w14:val="tx1"/>
                  </w14:solidFill>
                </w14:textFill>
              </w:rPr>
            </w:pPr>
            <w:r>
              <w:rPr>
                <w:rFonts w:hint="eastAsia" w:ascii="宋体" w:hAnsi="宋体" w:eastAsia="宋体" w:cs="宋体"/>
                <w:b w:val="0"/>
                <w:bCs/>
                <w:color w:val="000000"/>
                <w:kern w:val="0"/>
                <w:sz w:val="18"/>
                <w:szCs w:val="18"/>
                <w:lang w:val="en-US" w:eastAsia="zh-CN"/>
              </w:rPr>
              <w:t>不核算</w:t>
            </w:r>
          </w:p>
        </w:tc>
      </w:tr>
      <w:tr>
        <w:tblPrEx>
          <w:tblCellMar>
            <w:top w:w="0" w:type="dxa"/>
            <w:left w:w="108" w:type="dxa"/>
            <w:bottom w:w="0" w:type="dxa"/>
            <w:right w:w="108" w:type="dxa"/>
          </w:tblCellMar>
        </w:tblPrEx>
        <w:trPr>
          <w:trHeight w:val="437" w:hRule="atLeast"/>
          <w:jc w:val="center"/>
        </w:trPr>
        <w:tc>
          <w:tcPr>
            <w:tcW w:w="1926"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汽车贷款</w:t>
            </w:r>
          </w:p>
        </w:tc>
        <w:tc>
          <w:tcPr>
            <w:tcW w:w="332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firstLine="360" w:firstLineChars="20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投融资碳排放量</w:t>
            </w:r>
          </w:p>
        </w:tc>
        <w:tc>
          <w:tcPr>
            <w:tcW w:w="129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left="0" w:leftChars="0" w:firstLine="0" w:firstLineChars="0"/>
              <w:jc w:val="center"/>
              <w:rPr>
                <w:rFonts w:hint="default" w:ascii="宋体" w:hAnsi="宋体" w:eastAsia="宋体" w:cs="宋体"/>
                <w:b w:val="0"/>
                <w:bCs/>
                <w:color w:val="000000" w:themeColor="text1"/>
                <w:kern w:val="0"/>
                <w:sz w:val="18"/>
                <w:szCs w:val="18"/>
                <w:lang w:val="en-US"/>
                <w14:textFill>
                  <w14:solidFill>
                    <w14:schemeClr w14:val="tx1"/>
                  </w14:solidFill>
                </w14:textFill>
              </w:rPr>
            </w:pPr>
            <w:r>
              <w:rPr>
                <w:rFonts w:hint="eastAsia" w:ascii="宋体" w:hAnsi="宋体" w:eastAsia="宋体" w:cs="宋体"/>
                <w:b w:val="0"/>
                <w:bCs/>
                <w:color w:val="000000"/>
                <w:kern w:val="0"/>
                <w:sz w:val="18"/>
                <w:szCs w:val="18"/>
                <w:lang w:val="en-US" w:eastAsia="zh-CN"/>
              </w:rPr>
              <w:t>tCO2e</w:t>
            </w:r>
          </w:p>
        </w:tc>
        <w:tc>
          <w:tcPr>
            <w:tcW w:w="132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left="0" w:leftChars="0"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不核算</w:t>
            </w:r>
          </w:p>
        </w:tc>
        <w:tc>
          <w:tcPr>
            <w:tcW w:w="147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widowControl/>
              <w:spacing w:line="240" w:lineRule="auto"/>
              <w:ind w:left="0" w:leftChars="0" w:firstLine="0" w:firstLineChars="0"/>
              <w:jc w:val="center"/>
              <w:rPr>
                <w:rFonts w:hint="eastAsia" w:ascii="宋体" w:hAnsi="宋体" w:eastAsia="宋体" w:cs="宋体"/>
                <w:b w:val="0"/>
                <w:bCs/>
                <w:color w:val="000000" w:themeColor="text1"/>
                <w:kern w:val="0"/>
                <w:sz w:val="18"/>
                <w:szCs w:val="18"/>
                <w:lang w:val="en-US" w:eastAsia="zh-CN" w:bidi="ar-SA"/>
                <w14:textFill>
                  <w14:solidFill>
                    <w14:schemeClr w14:val="tx1"/>
                  </w14:solidFill>
                </w14:textFill>
              </w:rPr>
            </w:pPr>
            <w:r>
              <w:rPr>
                <w:rFonts w:hint="eastAsia" w:ascii="宋体" w:hAnsi="宋体" w:eastAsia="宋体" w:cs="宋体"/>
                <w:b w:val="0"/>
                <w:bCs/>
                <w:color w:val="000000"/>
                <w:kern w:val="0"/>
                <w:sz w:val="18"/>
                <w:szCs w:val="18"/>
                <w:lang w:val="en-US" w:eastAsia="zh-CN"/>
              </w:rPr>
              <w:t>不核算</w:t>
            </w:r>
          </w:p>
        </w:tc>
      </w:tr>
      <w:tr>
        <w:tblPrEx>
          <w:tblCellMar>
            <w:top w:w="0" w:type="dxa"/>
            <w:left w:w="108" w:type="dxa"/>
            <w:bottom w:w="0" w:type="dxa"/>
            <w:right w:w="108" w:type="dxa"/>
          </w:tblCellMar>
        </w:tblPrEx>
        <w:trPr>
          <w:trHeight w:val="437" w:hRule="atLeast"/>
          <w:jc w:val="center"/>
        </w:trPr>
        <w:tc>
          <w:tcPr>
            <w:tcW w:w="1926"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汽车贷款</w:t>
            </w:r>
          </w:p>
        </w:tc>
        <w:tc>
          <w:tcPr>
            <w:tcW w:w="332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firstLine="360" w:firstLineChars="20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纳入碳排放核算的投融资业务比例</w:t>
            </w:r>
          </w:p>
        </w:tc>
        <w:tc>
          <w:tcPr>
            <w:tcW w:w="129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left="0" w:leftChars="0" w:firstLine="0" w:firstLineChars="0"/>
              <w:jc w:val="center"/>
              <w:rPr>
                <w:rFonts w:hint="default" w:ascii="宋体" w:hAnsi="宋体" w:eastAsia="宋体" w:cs="宋体"/>
                <w:b w:val="0"/>
                <w:bCs/>
                <w:color w:val="000000" w:themeColor="text1"/>
                <w:kern w:val="0"/>
                <w:sz w:val="18"/>
                <w:szCs w:val="18"/>
                <w:lang w:val="en-US"/>
                <w14:textFill>
                  <w14:solidFill>
                    <w14:schemeClr w14:val="tx1"/>
                  </w14:solidFill>
                </w14:textFill>
              </w:rPr>
            </w:pPr>
            <w:r>
              <w:rPr>
                <w:rFonts w:hint="eastAsia" w:ascii="宋体" w:hAnsi="宋体" w:eastAsia="宋体" w:cs="宋体"/>
                <w:b w:val="0"/>
                <w:bCs/>
                <w:color w:val="000000"/>
                <w:kern w:val="0"/>
                <w:sz w:val="18"/>
                <w:szCs w:val="18"/>
                <w:lang w:val="en-US" w:eastAsia="zh-CN"/>
              </w:rPr>
              <w:t>%</w:t>
            </w:r>
          </w:p>
        </w:tc>
        <w:tc>
          <w:tcPr>
            <w:tcW w:w="132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left="0" w:leftChars="0"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不核算</w:t>
            </w:r>
          </w:p>
        </w:tc>
        <w:tc>
          <w:tcPr>
            <w:tcW w:w="147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widowControl/>
              <w:spacing w:line="240" w:lineRule="auto"/>
              <w:ind w:left="0" w:leftChars="0" w:firstLine="0" w:firstLineChars="0"/>
              <w:jc w:val="center"/>
              <w:rPr>
                <w:rFonts w:hint="eastAsia" w:ascii="宋体" w:hAnsi="宋体" w:eastAsia="宋体" w:cs="宋体"/>
                <w:b w:val="0"/>
                <w:bCs/>
                <w:color w:val="000000" w:themeColor="text1"/>
                <w:kern w:val="0"/>
                <w:sz w:val="18"/>
                <w:szCs w:val="18"/>
                <w:lang w:val="en-US" w:eastAsia="zh-CN" w:bidi="ar-SA"/>
                <w14:textFill>
                  <w14:solidFill>
                    <w14:schemeClr w14:val="tx1"/>
                  </w14:solidFill>
                </w14:textFill>
              </w:rPr>
            </w:pPr>
            <w:r>
              <w:rPr>
                <w:rFonts w:hint="eastAsia" w:ascii="宋体" w:hAnsi="宋体" w:eastAsia="宋体" w:cs="宋体"/>
                <w:b w:val="0"/>
                <w:bCs/>
                <w:color w:val="000000"/>
                <w:kern w:val="0"/>
                <w:sz w:val="18"/>
                <w:szCs w:val="18"/>
                <w:lang w:val="en-US" w:eastAsia="zh-CN"/>
              </w:rPr>
              <w:t>不核算</w:t>
            </w:r>
          </w:p>
        </w:tc>
      </w:tr>
      <w:tr>
        <w:tblPrEx>
          <w:tblCellMar>
            <w:top w:w="0" w:type="dxa"/>
            <w:left w:w="108" w:type="dxa"/>
            <w:bottom w:w="0" w:type="dxa"/>
            <w:right w:w="108" w:type="dxa"/>
          </w:tblCellMar>
        </w:tblPrEx>
        <w:trPr>
          <w:trHeight w:val="437" w:hRule="atLeast"/>
          <w:jc w:val="center"/>
        </w:trPr>
        <w:tc>
          <w:tcPr>
            <w:tcW w:w="1926"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汽车贷款</w:t>
            </w:r>
          </w:p>
        </w:tc>
        <w:tc>
          <w:tcPr>
            <w:tcW w:w="332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firstLine="360" w:firstLineChars="20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纳入碳排放核算的贷款月均融资余额</w:t>
            </w:r>
          </w:p>
        </w:tc>
        <w:tc>
          <w:tcPr>
            <w:tcW w:w="129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left="0" w:leftChars="0" w:firstLine="0" w:firstLineChars="0"/>
              <w:jc w:val="center"/>
              <w:rPr>
                <w:rFonts w:hint="default" w:ascii="宋体" w:hAnsi="宋体" w:eastAsia="宋体" w:cs="宋体"/>
                <w:b w:val="0"/>
                <w:bCs/>
                <w:color w:val="000000" w:themeColor="text1"/>
                <w:kern w:val="0"/>
                <w:sz w:val="18"/>
                <w:szCs w:val="18"/>
                <w:lang w:val="en-US"/>
                <w14:textFill>
                  <w14:solidFill>
                    <w14:schemeClr w14:val="tx1"/>
                  </w14:solidFill>
                </w14:textFill>
              </w:rPr>
            </w:pPr>
            <w:r>
              <w:rPr>
                <w:rFonts w:hint="eastAsia" w:ascii="宋体" w:hAnsi="宋体" w:eastAsia="宋体" w:cs="宋体"/>
                <w:b w:val="0"/>
                <w:bCs/>
                <w:color w:val="000000"/>
                <w:kern w:val="0"/>
                <w:sz w:val="18"/>
                <w:szCs w:val="18"/>
                <w:lang w:val="en-US" w:eastAsia="zh-CN"/>
              </w:rPr>
              <w:t>万元</w:t>
            </w:r>
          </w:p>
        </w:tc>
        <w:tc>
          <w:tcPr>
            <w:tcW w:w="132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left="0" w:leftChars="0"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不核算</w:t>
            </w:r>
          </w:p>
        </w:tc>
        <w:tc>
          <w:tcPr>
            <w:tcW w:w="147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widowControl/>
              <w:spacing w:line="240" w:lineRule="auto"/>
              <w:ind w:left="0" w:leftChars="0" w:firstLine="0" w:firstLineChars="0"/>
              <w:jc w:val="center"/>
              <w:rPr>
                <w:rFonts w:hint="eastAsia" w:ascii="宋体" w:hAnsi="宋体" w:eastAsia="宋体" w:cs="宋体"/>
                <w:b w:val="0"/>
                <w:bCs/>
                <w:color w:val="000000" w:themeColor="text1"/>
                <w:kern w:val="0"/>
                <w:sz w:val="18"/>
                <w:szCs w:val="18"/>
                <w:lang w:val="en-US" w:eastAsia="zh-CN" w:bidi="ar-SA"/>
                <w14:textFill>
                  <w14:solidFill>
                    <w14:schemeClr w14:val="tx1"/>
                  </w14:solidFill>
                </w14:textFill>
              </w:rPr>
            </w:pPr>
            <w:r>
              <w:rPr>
                <w:rFonts w:hint="eastAsia" w:ascii="宋体" w:hAnsi="宋体" w:eastAsia="宋体" w:cs="宋体"/>
                <w:b w:val="0"/>
                <w:bCs/>
                <w:color w:val="000000"/>
                <w:kern w:val="0"/>
                <w:sz w:val="18"/>
                <w:szCs w:val="18"/>
                <w:lang w:val="en-US" w:eastAsia="zh-CN"/>
              </w:rPr>
              <w:t>不核算</w:t>
            </w:r>
          </w:p>
        </w:tc>
      </w:tr>
      <w:tr>
        <w:tblPrEx>
          <w:tblCellMar>
            <w:top w:w="0" w:type="dxa"/>
            <w:left w:w="108" w:type="dxa"/>
            <w:bottom w:w="0" w:type="dxa"/>
            <w:right w:w="108" w:type="dxa"/>
          </w:tblCellMar>
        </w:tblPrEx>
        <w:trPr>
          <w:trHeight w:val="437" w:hRule="atLeast"/>
          <w:jc w:val="center"/>
        </w:trPr>
        <w:tc>
          <w:tcPr>
            <w:tcW w:w="1926"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汽车贷款</w:t>
            </w:r>
          </w:p>
        </w:tc>
        <w:tc>
          <w:tcPr>
            <w:tcW w:w="332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firstLine="360" w:firstLineChars="20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投融资碳排放强度*</w:t>
            </w:r>
          </w:p>
        </w:tc>
        <w:tc>
          <w:tcPr>
            <w:tcW w:w="129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left="0" w:leftChars="0" w:firstLine="0" w:firstLineChars="0"/>
              <w:jc w:val="center"/>
              <w:rPr>
                <w:rFonts w:hint="default" w:ascii="宋体" w:hAnsi="宋体" w:eastAsia="宋体" w:cs="宋体"/>
                <w:b w:val="0"/>
                <w:bCs/>
                <w:color w:val="000000" w:themeColor="text1"/>
                <w:kern w:val="0"/>
                <w:sz w:val="18"/>
                <w:szCs w:val="18"/>
                <w:lang w:val="en-US"/>
                <w14:textFill>
                  <w14:solidFill>
                    <w14:schemeClr w14:val="tx1"/>
                  </w14:solidFill>
                </w14:textFill>
              </w:rPr>
            </w:pPr>
            <w:r>
              <w:rPr>
                <w:rFonts w:hint="eastAsia" w:ascii="宋体" w:hAnsi="宋体" w:eastAsia="宋体" w:cs="宋体"/>
                <w:b w:val="0"/>
                <w:bCs/>
                <w:color w:val="000000"/>
                <w:kern w:val="0"/>
                <w:sz w:val="18"/>
                <w:szCs w:val="18"/>
                <w:lang w:val="en-US" w:eastAsia="zh-CN"/>
              </w:rPr>
              <w:t>tCO2e/万元</w:t>
            </w:r>
          </w:p>
        </w:tc>
        <w:tc>
          <w:tcPr>
            <w:tcW w:w="132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left="0" w:leftChars="0"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不核算</w:t>
            </w:r>
          </w:p>
        </w:tc>
        <w:tc>
          <w:tcPr>
            <w:tcW w:w="147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widowControl/>
              <w:spacing w:line="240" w:lineRule="auto"/>
              <w:ind w:left="0" w:leftChars="0" w:firstLine="0" w:firstLineChars="0"/>
              <w:jc w:val="center"/>
              <w:rPr>
                <w:rFonts w:hint="eastAsia" w:ascii="宋体" w:hAnsi="宋体" w:eastAsia="宋体" w:cs="宋体"/>
                <w:b w:val="0"/>
                <w:bCs/>
                <w:color w:val="000000" w:themeColor="text1"/>
                <w:kern w:val="0"/>
                <w:sz w:val="18"/>
                <w:szCs w:val="18"/>
                <w:lang w:val="en-US" w:eastAsia="zh-CN" w:bidi="ar-SA"/>
                <w14:textFill>
                  <w14:solidFill>
                    <w14:schemeClr w14:val="tx1"/>
                  </w14:solidFill>
                </w14:textFill>
              </w:rPr>
            </w:pPr>
            <w:r>
              <w:rPr>
                <w:rFonts w:hint="eastAsia" w:ascii="宋体" w:hAnsi="宋体" w:eastAsia="宋体" w:cs="宋体"/>
                <w:b w:val="0"/>
                <w:bCs/>
                <w:color w:val="000000"/>
                <w:kern w:val="0"/>
                <w:sz w:val="18"/>
                <w:szCs w:val="18"/>
                <w:lang w:val="en-US" w:eastAsia="zh-CN"/>
              </w:rPr>
              <w:t>不核算</w:t>
            </w:r>
          </w:p>
        </w:tc>
      </w:tr>
      <w:tr>
        <w:tblPrEx>
          <w:tblCellMar>
            <w:top w:w="0" w:type="dxa"/>
            <w:left w:w="108" w:type="dxa"/>
            <w:bottom w:w="0" w:type="dxa"/>
            <w:right w:w="108" w:type="dxa"/>
          </w:tblCellMar>
        </w:tblPrEx>
        <w:trPr>
          <w:trHeight w:val="437" w:hRule="atLeast"/>
          <w:jc w:val="center"/>
        </w:trPr>
        <w:tc>
          <w:tcPr>
            <w:tcW w:w="1926"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合计（信贷资产）</w:t>
            </w:r>
          </w:p>
        </w:tc>
        <w:tc>
          <w:tcPr>
            <w:tcW w:w="332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firstLine="360" w:firstLineChars="20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投融资碳排放量</w:t>
            </w:r>
          </w:p>
        </w:tc>
        <w:tc>
          <w:tcPr>
            <w:tcW w:w="129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left="0" w:leftChars="0" w:firstLine="0" w:firstLineChars="0"/>
              <w:jc w:val="center"/>
              <w:rPr>
                <w:rFonts w:hint="default" w:ascii="宋体" w:hAnsi="宋体" w:eastAsia="宋体" w:cs="宋体"/>
                <w:b w:val="0"/>
                <w:bCs/>
                <w:color w:val="000000" w:themeColor="text1"/>
                <w:kern w:val="0"/>
                <w:sz w:val="18"/>
                <w:szCs w:val="18"/>
                <w:lang w:val="en-US"/>
                <w14:textFill>
                  <w14:solidFill>
                    <w14:schemeClr w14:val="tx1"/>
                  </w14:solidFill>
                </w14:textFill>
              </w:rPr>
            </w:pPr>
            <w:r>
              <w:rPr>
                <w:rFonts w:hint="eastAsia" w:ascii="宋体" w:hAnsi="宋体" w:eastAsia="宋体" w:cs="宋体"/>
                <w:b w:val="0"/>
                <w:bCs/>
                <w:color w:val="000000"/>
                <w:kern w:val="0"/>
                <w:sz w:val="18"/>
                <w:szCs w:val="18"/>
                <w:lang w:val="en-US" w:eastAsia="zh-CN"/>
              </w:rPr>
              <w:t>tCO2e</w:t>
            </w:r>
          </w:p>
        </w:tc>
        <w:tc>
          <w:tcPr>
            <w:tcW w:w="132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left="0" w:leftChars="0"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374159.60183</w:t>
            </w:r>
          </w:p>
        </w:tc>
        <w:tc>
          <w:tcPr>
            <w:tcW w:w="147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widowControl/>
              <w:spacing w:line="240" w:lineRule="auto"/>
              <w:ind w:left="0" w:leftChars="0" w:firstLine="0" w:firstLineChars="0"/>
              <w:jc w:val="center"/>
              <w:rPr>
                <w:rFonts w:hint="eastAsia" w:ascii="宋体" w:hAnsi="宋体" w:eastAsia="宋体" w:cs="宋体"/>
                <w:b w:val="0"/>
                <w:bCs/>
                <w:color w:val="000000" w:themeColor="text1"/>
                <w:kern w:val="0"/>
                <w:sz w:val="18"/>
                <w:szCs w:val="18"/>
                <w:lang w:val="en-US" w:eastAsia="zh-CN" w:bidi="ar-SA"/>
                <w14:textFill>
                  <w14:solidFill>
                    <w14:schemeClr w14:val="tx1"/>
                  </w14:solidFill>
                </w14:textFill>
              </w:rPr>
            </w:pPr>
            <w:r>
              <w:rPr>
                <w:rFonts w:hint="eastAsia" w:ascii="宋体" w:hAnsi="宋体" w:eastAsia="宋体" w:cs="宋体"/>
                <w:b w:val="0"/>
                <w:bCs/>
                <w:color w:val="000000"/>
                <w:kern w:val="0"/>
                <w:sz w:val="18"/>
                <w:szCs w:val="18"/>
                <w:lang w:val="en-US" w:eastAsia="zh-CN"/>
              </w:rPr>
              <w:t>214547.13267</w:t>
            </w:r>
          </w:p>
        </w:tc>
      </w:tr>
      <w:tr>
        <w:tblPrEx>
          <w:tblCellMar>
            <w:top w:w="0" w:type="dxa"/>
            <w:left w:w="108" w:type="dxa"/>
            <w:bottom w:w="0" w:type="dxa"/>
            <w:right w:w="108" w:type="dxa"/>
          </w:tblCellMar>
        </w:tblPrEx>
        <w:trPr>
          <w:trHeight w:val="437" w:hRule="atLeast"/>
          <w:jc w:val="center"/>
        </w:trPr>
        <w:tc>
          <w:tcPr>
            <w:tcW w:w="1926"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合计（信贷资产）</w:t>
            </w:r>
          </w:p>
        </w:tc>
        <w:tc>
          <w:tcPr>
            <w:tcW w:w="332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firstLine="360" w:firstLineChars="20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纳入碳排放核算的投融资业务比例</w:t>
            </w:r>
          </w:p>
        </w:tc>
        <w:tc>
          <w:tcPr>
            <w:tcW w:w="129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left="0" w:leftChars="0" w:firstLine="0" w:firstLineChars="0"/>
              <w:jc w:val="center"/>
              <w:rPr>
                <w:rFonts w:hint="default" w:ascii="宋体" w:hAnsi="宋体" w:eastAsia="宋体" w:cs="宋体"/>
                <w:b w:val="0"/>
                <w:bCs/>
                <w:color w:val="000000" w:themeColor="text1"/>
                <w:kern w:val="0"/>
                <w:sz w:val="18"/>
                <w:szCs w:val="18"/>
                <w:lang w:val="en-US"/>
                <w14:textFill>
                  <w14:solidFill>
                    <w14:schemeClr w14:val="tx1"/>
                  </w14:solidFill>
                </w14:textFill>
              </w:rPr>
            </w:pPr>
            <w:r>
              <w:rPr>
                <w:rFonts w:hint="eastAsia" w:ascii="宋体" w:hAnsi="宋体" w:eastAsia="宋体" w:cs="宋体"/>
                <w:b w:val="0"/>
                <w:bCs/>
                <w:color w:val="000000"/>
                <w:kern w:val="0"/>
                <w:sz w:val="18"/>
                <w:szCs w:val="18"/>
                <w:lang w:val="en-US" w:eastAsia="zh-CN"/>
              </w:rPr>
              <w:t>%</w:t>
            </w:r>
          </w:p>
        </w:tc>
        <w:tc>
          <w:tcPr>
            <w:tcW w:w="13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bidi w:val="0"/>
              <w:spacing w:line="240" w:lineRule="auto"/>
              <w:ind w:left="0" w:leftChars="0"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仿宋" w:hAnsi="仿宋" w:eastAsia="仿宋" w:cs="仿宋"/>
                <w:b w:val="0"/>
                <w:bCs/>
                <w:color w:val="000000" w:themeColor="text1"/>
                <w:kern w:val="0"/>
                <w:sz w:val="24"/>
                <w:szCs w:val="24"/>
                <w:lang w:val="en-US" w:eastAsia="zh-CN"/>
                <w14:textFill>
                  <w14:solidFill>
                    <w14:schemeClr w14:val="tx1"/>
                  </w14:solidFill>
                </w14:textFill>
              </w:rPr>
              <w:t>/</w:t>
            </w:r>
          </w:p>
        </w:tc>
        <w:tc>
          <w:tcPr>
            <w:tcW w:w="147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kinsoku/>
              <w:wordWrap/>
              <w:overflowPunct/>
              <w:topLinePunct w:val="0"/>
              <w:bidi w:val="0"/>
              <w:spacing w:line="240" w:lineRule="auto"/>
              <w:ind w:left="0" w:leftChars="0" w:firstLine="0" w:firstLineChars="0"/>
              <w:jc w:val="center"/>
              <w:rPr>
                <w:rFonts w:hint="eastAsia" w:ascii="宋体" w:hAnsi="宋体" w:eastAsia="宋体" w:cs="宋体"/>
                <w:b w:val="0"/>
                <w:bCs/>
                <w:color w:val="000000" w:themeColor="text1"/>
                <w:kern w:val="0"/>
                <w:sz w:val="18"/>
                <w:szCs w:val="18"/>
                <w:lang w:val="en-US" w:eastAsia="zh-CN" w:bidi="ar-SA"/>
                <w14:textFill>
                  <w14:solidFill>
                    <w14:schemeClr w14:val="tx1"/>
                  </w14:solidFill>
                </w14:textFill>
              </w:rPr>
            </w:pPr>
            <w:r>
              <w:rPr>
                <w:rFonts w:hint="eastAsia" w:ascii="仿宋" w:hAnsi="仿宋" w:eastAsia="仿宋" w:cs="仿宋"/>
                <w:b w:val="0"/>
                <w:bCs/>
                <w:color w:val="000000" w:themeColor="text1"/>
                <w:kern w:val="0"/>
                <w:sz w:val="24"/>
                <w:szCs w:val="24"/>
                <w:lang w:val="en-US" w:eastAsia="zh-CN"/>
                <w14:textFill>
                  <w14:solidFill>
                    <w14:schemeClr w14:val="tx1"/>
                  </w14:solidFill>
                </w14:textFill>
              </w:rPr>
              <w:t>/</w:t>
            </w:r>
          </w:p>
        </w:tc>
      </w:tr>
      <w:tr>
        <w:tblPrEx>
          <w:tblCellMar>
            <w:top w:w="0" w:type="dxa"/>
            <w:left w:w="108" w:type="dxa"/>
            <w:bottom w:w="0" w:type="dxa"/>
            <w:right w:w="108" w:type="dxa"/>
          </w:tblCellMar>
        </w:tblPrEx>
        <w:trPr>
          <w:trHeight w:val="437" w:hRule="atLeast"/>
          <w:jc w:val="center"/>
        </w:trPr>
        <w:tc>
          <w:tcPr>
            <w:tcW w:w="1926"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合计（信贷资产）</w:t>
            </w:r>
          </w:p>
        </w:tc>
        <w:tc>
          <w:tcPr>
            <w:tcW w:w="332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firstLine="360" w:firstLineChars="20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纳入碳排放核算的贷款月均融资余额</w:t>
            </w:r>
          </w:p>
        </w:tc>
        <w:tc>
          <w:tcPr>
            <w:tcW w:w="129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left="0" w:leftChars="0" w:firstLine="0" w:firstLineChars="0"/>
              <w:jc w:val="center"/>
              <w:rPr>
                <w:rFonts w:hint="default" w:ascii="宋体" w:hAnsi="宋体" w:eastAsia="宋体" w:cs="宋体"/>
                <w:b w:val="0"/>
                <w:bCs/>
                <w:color w:val="000000" w:themeColor="text1"/>
                <w:kern w:val="0"/>
                <w:sz w:val="18"/>
                <w:szCs w:val="18"/>
                <w:lang w:val="en-US"/>
                <w14:textFill>
                  <w14:solidFill>
                    <w14:schemeClr w14:val="tx1"/>
                  </w14:solidFill>
                </w14:textFill>
              </w:rPr>
            </w:pPr>
            <w:r>
              <w:rPr>
                <w:rFonts w:hint="eastAsia" w:ascii="宋体" w:hAnsi="宋体" w:eastAsia="宋体" w:cs="宋体"/>
                <w:b w:val="0"/>
                <w:bCs/>
                <w:color w:val="000000"/>
                <w:kern w:val="0"/>
                <w:sz w:val="18"/>
                <w:szCs w:val="18"/>
                <w:lang w:val="en-US" w:eastAsia="zh-CN"/>
              </w:rPr>
              <w:t>万元</w:t>
            </w:r>
          </w:p>
        </w:tc>
        <w:tc>
          <w:tcPr>
            <w:tcW w:w="132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left="0" w:leftChars="0"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14667747.94</w:t>
            </w:r>
          </w:p>
        </w:tc>
        <w:tc>
          <w:tcPr>
            <w:tcW w:w="147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widowControl/>
              <w:spacing w:line="240" w:lineRule="auto"/>
              <w:ind w:left="0" w:leftChars="0" w:firstLine="0" w:firstLineChars="0"/>
              <w:jc w:val="center"/>
              <w:rPr>
                <w:rFonts w:hint="eastAsia" w:ascii="宋体" w:hAnsi="宋体" w:eastAsia="宋体" w:cs="宋体"/>
                <w:b w:val="0"/>
                <w:bCs/>
                <w:color w:val="000000" w:themeColor="text1"/>
                <w:kern w:val="0"/>
                <w:sz w:val="18"/>
                <w:szCs w:val="18"/>
                <w:lang w:val="en-US" w:eastAsia="zh-CN" w:bidi="ar-SA"/>
                <w14:textFill>
                  <w14:solidFill>
                    <w14:schemeClr w14:val="tx1"/>
                  </w14:solidFill>
                </w14:textFill>
              </w:rPr>
            </w:pPr>
            <w:r>
              <w:rPr>
                <w:rFonts w:hint="eastAsia" w:ascii="宋体" w:hAnsi="宋体" w:eastAsia="宋体" w:cs="宋体"/>
                <w:b w:val="0"/>
                <w:bCs/>
                <w:color w:val="000000"/>
                <w:kern w:val="0"/>
                <w:sz w:val="18"/>
                <w:szCs w:val="18"/>
                <w:lang w:val="en-US" w:eastAsia="zh-CN"/>
              </w:rPr>
              <w:t>10422618.41462</w:t>
            </w:r>
          </w:p>
        </w:tc>
      </w:tr>
      <w:tr>
        <w:tblPrEx>
          <w:tblCellMar>
            <w:top w:w="0" w:type="dxa"/>
            <w:left w:w="108" w:type="dxa"/>
            <w:bottom w:w="0" w:type="dxa"/>
            <w:right w:w="108" w:type="dxa"/>
          </w:tblCellMar>
        </w:tblPrEx>
        <w:trPr>
          <w:trHeight w:val="437" w:hRule="atLeast"/>
          <w:jc w:val="center"/>
        </w:trPr>
        <w:tc>
          <w:tcPr>
            <w:tcW w:w="1926"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合计（信贷资产）</w:t>
            </w:r>
          </w:p>
        </w:tc>
        <w:tc>
          <w:tcPr>
            <w:tcW w:w="332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firstLine="360" w:firstLineChars="20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投融资碳排放强度*</w:t>
            </w:r>
          </w:p>
        </w:tc>
        <w:tc>
          <w:tcPr>
            <w:tcW w:w="129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left="0" w:leftChars="0" w:firstLine="0" w:firstLineChars="0"/>
              <w:jc w:val="center"/>
              <w:rPr>
                <w:rFonts w:hint="default" w:ascii="宋体" w:hAnsi="宋体" w:eastAsia="宋体" w:cs="宋体"/>
                <w:b w:val="0"/>
                <w:bCs/>
                <w:color w:val="000000" w:themeColor="text1"/>
                <w:kern w:val="0"/>
                <w:sz w:val="18"/>
                <w:szCs w:val="18"/>
                <w:lang w:val="en-US"/>
                <w14:textFill>
                  <w14:solidFill>
                    <w14:schemeClr w14:val="tx1"/>
                  </w14:solidFill>
                </w14:textFill>
              </w:rPr>
            </w:pPr>
            <w:r>
              <w:rPr>
                <w:rFonts w:hint="eastAsia" w:ascii="宋体" w:hAnsi="宋体" w:eastAsia="宋体" w:cs="宋体"/>
                <w:b w:val="0"/>
                <w:bCs/>
                <w:color w:val="000000"/>
                <w:kern w:val="0"/>
                <w:sz w:val="18"/>
                <w:szCs w:val="18"/>
                <w:lang w:val="en-US" w:eastAsia="zh-CN"/>
              </w:rPr>
              <w:t>tCO2e/万元</w:t>
            </w:r>
          </w:p>
        </w:tc>
        <w:tc>
          <w:tcPr>
            <w:tcW w:w="132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left="0" w:leftChars="0"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0.02551</w:t>
            </w:r>
          </w:p>
        </w:tc>
        <w:tc>
          <w:tcPr>
            <w:tcW w:w="147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widowControl/>
              <w:spacing w:line="240" w:lineRule="auto"/>
              <w:ind w:left="0" w:leftChars="0" w:firstLine="0" w:firstLineChars="0"/>
              <w:jc w:val="center"/>
              <w:rPr>
                <w:rFonts w:hint="eastAsia" w:ascii="宋体" w:hAnsi="宋体" w:eastAsia="宋体" w:cs="宋体"/>
                <w:b w:val="0"/>
                <w:bCs/>
                <w:color w:val="000000" w:themeColor="text1"/>
                <w:kern w:val="0"/>
                <w:sz w:val="18"/>
                <w:szCs w:val="18"/>
                <w:lang w:val="en-US" w:eastAsia="zh-CN" w:bidi="ar-SA"/>
                <w14:textFill>
                  <w14:solidFill>
                    <w14:schemeClr w14:val="tx1"/>
                  </w14:solidFill>
                </w14:textFill>
              </w:rPr>
            </w:pPr>
            <w:r>
              <w:rPr>
                <w:rFonts w:hint="eastAsia" w:ascii="宋体" w:hAnsi="宋体" w:eastAsia="宋体" w:cs="宋体"/>
                <w:b w:val="0"/>
                <w:bCs/>
                <w:color w:val="000000"/>
                <w:kern w:val="0"/>
                <w:sz w:val="18"/>
                <w:szCs w:val="18"/>
                <w:lang w:val="en-US" w:eastAsia="zh-CN"/>
              </w:rPr>
              <w:t>0.02058</w:t>
            </w:r>
          </w:p>
        </w:tc>
      </w:tr>
    </w:tbl>
    <w:p>
      <w:pPr>
        <w:keepNext w:val="0"/>
        <w:keepLines w:val="0"/>
        <w:pageBreakBefore w:val="0"/>
        <w:widowControl/>
        <w:numPr>
          <w:ilvl w:val="0"/>
          <w:numId w:val="0"/>
        </w:numPr>
        <w:kinsoku/>
        <w:wordWrap/>
        <w:overflowPunct/>
        <w:topLinePunct w:val="0"/>
        <w:autoSpaceDE w:val="0"/>
        <w:autoSpaceDN w:val="0"/>
        <w:bidi w:val="0"/>
        <w:adjustRightInd w:val="0"/>
        <w:snapToGrid w:val="0"/>
        <w:spacing w:before="149" w:beforeLines="50" w:line="240" w:lineRule="auto"/>
        <w:ind w:left="0" w:leftChars="0" w:firstLine="0" w:firstLineChars="0"/>
        <w:textAlignment w:val="baseline"/>
        <w:outlineLvl w:val="0"/>
        <w:rPr>
          <w:rFonts w:hint="eastAsia" w:ascii="微软雅黑" w:hAnsi="微软雅黑" w:eastAsia="微软雅黑" w:cs="微软雅黑"/>
          <w:b w:val="0"/>
          <w:bCs/>
          <w:color w:val="000000" w:themeColor="text1"/>
          <w:kern w:val="2"/>
          <w:sz w:val="28"/>
          <w:szCs w:val="28"/>
          <w:lang w:val="en-US" w:eastAsia="zh-CN" w:bidi="ar-SA"/>
          <w14:textFill>
            <w14:solidFill>
              <w14:schemeClr w14:val="tx1"/>
            </w14:solidFill>
          </w14:textFill>
        </w:rPr>
      </w:pPr>
      <w:bookmarkStart w:id="31" w:name="_Toc23507"/>
      <w:r>
        <w:rPr>
          <w:rFonts w:hint="eastAsia" w:ascii="微软雅黑" w:hAnsi="微软雅黑" w:eastAsia="微软雅黑" w:cs="微软雅黑"/>
          <w:b w:val="0"/>
          <w:bCs/>
          <w:color w:val="000000" w:themeColor="text1"/>
          <w:kern w:val="2"/>
          <w:sz w:val="28"/>
          <w:szCs w:val="28"/>
          <w:lang w:val="en-US" w:eastAsia="zh-CN" w:bidi="ar-SA"/>
          <w14:textFill>
            <w14:solidFill>
              <w14:schemeClr w14:val="tx1"/>
            </w14:solidFill>
          </w14:textFill>
        </w:rPr>
        <w:t>7.2 债券资产</w:t>
      </w:r>
      <w:bookmarkEnd w:id="31"/>
    </w:p>
    <w:p>
      <w:pPr>
        <w:widowControl/>
        <w:kinsoku w:val="0"/>
        <w:autoSpaceDE w:val="0"/>
        <w:autoSpaceDN w:val="0"/>
        <w:adjustRightInd w:val="0"/>
        <w:snapToGrid w:val="0"/>
        <w:spacing w:before="156" w:beforeLines="50" w:line="240" w:lineRule="auto"/>
        <w:ind w:firstLine="504"/>
        <w:textAlignment w:val="baseline"/>
        <w:rPr>
          <w:rFonts w:ascii="仿宋" w:hAnsi="仿宋" w:eastAsia="仿宋" w:cs="仿宋"/>
          <w:b w:val="0"/>
          <w:bCs/>
          <w:snapToGrid w:val="0"/>
          <w:color w:val="000000" w:themeColor="text1"/>
          <w:spacing w:val="6"/>
          <w:kern w:val="0"/>
          <w:sz w:val="24"/>
          <w:szCs w:val="24"/>
          <w14:textFill>
            <w14:solidFill>
              <w14:schemeClr w14:val="tx1"/>
            </w14:solidFill>
          </w14:textFill>
        </w:rPr>
      </w:pPr>
      <w:r>
        <w:rPr>
          <w:rFonts w:hint="eastAsia"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本行2025年度无债券资产碳排放基础数据。</w:t>
      </w:r>
    </w:p>
    <w:p>
      <w:pPr>
        <w:pStyle w:val="2"/>
        <w:keepNext w:val="0"/>
        <w:keepLines w:val="0"/>
        <w:pageBreakBefore w:val="0"/>
        <w:widowControl w:val="0"/>
        <w:kinsoku/>
        <w:wordWrap/>
        <w:overflowPunct/>
        <w:topLinePunct w:val="0"/>
        <w:autoSpaceDE/>
        <w:autoSpaceDN/>
        <w:bidi w:val="0"/>
        <w:adjustRightInd/>
        <w:snapToGrid/>
        <w:spacing w:after="0" w:line="240" w:lineRule="auto"/>
        <w:textAlignment w:val="auto"/>
        <w:rPr>
          <w:rFonts w:hint="eastAsia" w:ascii="仿宋" w:hAnsi="仿宋" w:eastAsia="仿宋" w:cs="仿宋"/>
          <w:b w:val="0"/>
          <w:bCs/>
          <w:snapToGrid w:val="0"/>
          <w:color w:val="auto"/>
          <w:spacing w:val="6"/>
          <w:kern w:val="0"/>
          <w:sz w:val="18"/>
          <w:szCs w:val="18"/>
          <w:lang w:val="en-US" w:eastAsia="zh-CN" w:bidi="ar-SA"/>
        </w:rPr>
      </w:pPr>
      <w:bookmarkStart w:id="32" w:name="_Toc18085"/>
    </w:p>
    <w:p>
      <w:pPr>
        <w:keepNext w:val="0"/>
        <w:keepLines w:val="0"/>
        <w:pageBreakBefore w:val="0"/>
        <w:widowControl/>
        <w:numPr>
          <w:ilvl w:val="0"/>
          <w:numId w:val="0"/>
        </w:numPr>
        <w:kinsoku/>
        <w:wordWrap/>
        <w:overflowPunct/>
        <w:topLinePunct w:val="0"/>
        <w:autoSpaceDE w:val="0"/>
        <w:autoSpaceDN w:val="0"/>
        <w:bidi w:val="0"/>
        <w:adjustRightInd w:val="0"/>
        <w:snapToGrid w:val="0"/>
        <w:spacing w:before="149" w:beforeLines="50" w:line="240" w:lineRule="auto"/>
        <w:ind w:left="0" w:leftChars="0" w:firstLine="0" w:firstLineChars="0"/>
        <w:textAlignment w:val="baseline"/>
        <w:outlineLvl w:val="0"/>
        <w:rPr>
          <w:rFonts w:hint="eastAsia" w:ascii="微软雅黑" w:hAnsi="微软雅黑" w:eastAsia="微软雅黑" w:cs="微软雅黑"/>
          <w:b w:val="0"/>
          <w:bCs/>
          <w:color w:val="000000" w:themeColor="text1"/>
          <w:kern w:val="2"/>
          <w:sz w:val="28"/>
          <w:szCs w:val="28"/>
          <w:lang w:val="en-US" w:eastAsia="zh-CN" w:bidi="ar-SA"/>
          <w14:textFill>
            <w14:solidFill>
              <w14:schemeClr w14:val="tx1"/>
            </w14:solidFill>
          </w14:textFill>
        </w:rPr>
      </w:pPr>
      <w:r>
        <w:rPr>
          <w:rFonts w:hint="eastAsia" w:ascii="微软雅黑" w:hAnsi="微软雅黑" w:eastAsia="微软雅黑" w:cs="微软雅黑"/>
          <w:b w:val="0"/>
          <w:bCs/>
          <w:color w:val="000000" w:themeColor="text1"/>
          <w:kern w:val="2"/>
          <w:sz w:val="28"/>
          <w:szCs w:val="28"/>
          <w:lang w:val="en-US" w:eastAsia="zh-CN" w:bidi="ar-SA"/>
          <w14:textFill>
            <w14:solidFill>
              <w14:schemeClr w14:val="tx1"/>
            </w14:solidFill>
          </w14:textFill>
        </w:rPr>
        <w:t>7.3 投融资（总计）</w:t>
      </w:r>
      <w:bookmarkEnd w:id="32"/>
    </w:p>
    <w:p>
      <w:pPr>
        <w:widowControl/>
        <w:kinsoku w:val="0"/>
        <w:autoSpaceDE w:val="0"/>
        <w:autoSpaceDN w:val="0"/>
        <w:adjustRightInd w:val="0"/>
        <w:snapToGrid w:val="0"/>
        <w:spacing w:before="156" w:beforeLines="50" w:line="240" w:lineRule="auto"/>
        <w:ind w:firstLine="504"/>
        <w:textAlignment w:val="baseline"/>
        <w:rPr>
          <w:rFonts w:hint="eastAsia" w:ascii="仿宋" w:hAnsi="仿宋" w:eastAsia="仿宋" w:cs="仿宋"/>
          <w:b w:val="0"/>
          <w:bCs/>
          <w:snapToGrid w:val="0"/>
          <w:color w:val="000000" w:themeColor="text1"/>
          <w:spacing w:val="6"/>
          <w:kern w:val="0"/>
          <w:sz w:val="24"/>
          <w:szCs w:val="24"/>
          <w:lang w:val="en-US" w:eastAsia="zh-CN"/>
          <w14:textFill>
            <w14:solidFill>
              <w14:schemeClr w14:val="tx1"/>
            </w14:solidFill>
          </w14:textFill>
        </w:rPr>
      </w:pPr>
      <w:r>
        <w:rPr>
          <w:rFonts w:hint="eastAsia"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报告年度内</w:t>
      </w:r>
      <w:r>
        <w:rPr>
          <w:rFonts w:hint="eastAsia" w:ascii="仿宋" w:hAnsi="仿宋" w:eastAsia="仿宋" w:cs="仿宋"/>
          <w:b w:val="0"/>
          <w:bCs/>
          <w:snapToGrid w:val="0"/>
          <w:color w:val="000000" w:themeColor="text1"/>
          <w:spacing w:val="6"/>
          <w:kern w:val="0"/>
          <w:sz w:val="24"/>
          <w:szCs w:val="24"/>
          <w14:textFill>
            <w14:solidFill>
              <w14:schemeClr w14:val="tx1"/>
            </w14:solidFill>
          </w14:textFill>
        </w:rPr>
        <w:t>本行信贷资产产生的碳排放</w:t>
      </w:r>
      <w:r>
        <w:rPr>
          <w:rFonts w:hint="eastAsia" w:ascii="仿宋" w:hAnsi="仿宋" w:eastAsia="仿宋" w:cs="仿宋"/>
          <w:b w:val="0"/>
          <w:bCs/>
          <w:snapToGrid w:val="0"/>
          <w:color w:val="000000" w:themeColor="text1"/>
          <w:spacing w:val="6"/>
          <w:kern w:val="0"/>
          <w:sz w:val="24"/>
          <w:szCs w:val="24"/>
          <w:u w:val="single"/>
          <w:lang w:val="en-US" w:eastAsia="zh-CN"/>
          <w14:textFill>
            <w14:solidFill>
              <w14:schemeClr w14:val="tx1"/>
            </w14:solidFill>
          </w14:textFill>
        </w:rPr>
        <w:t xml:space="preserve"> </w:t>
      </w:r>
      <w:r>
        <w:rPr>
          <w:rFonts w:ascii="仿宋" w:hAnsi="仿宋" w:eastAsia="仿宋" w:cs="仿宋"/>
          <w:color w:val="000000"/>
          <w:spacing w:val="6"/>
          <w:sz w:val="24"/>
          <w:u w:val="single" w:color="auto"/>
        </w:rPr>
        <w:t xml:space="preserve">374159.60 </w:t>
      </w:r>
      <w:r>
        <w:rPr>
          <w:rFonts w:hint="eastAsia" w:ascii="仿宋" w:hAnsi="仿宋" w:eastAsia="仿宋" w:cs="仿宋"/>
          <w:b w:val="0"/>
          <w:bCs/>
          <w:snapToGrid w:val="0"/>
          <w:color w:val="000000" w:themeColor="text1"/>
          <w:spacing w:val="6"/>
          <w:kern w:val="0"/>
          <w:sz w:val="24"/>
          <w:szCs w:val="24"/>
          <w14:textFill>
            <w14:solidFill>
              <w14:schemeClr w14:val="tx1"/>
            </w14:solidFill>
          </w14:textFill>
        </w:rPr>
        <w:t>tCO</w:t>
      </w:r>
      <w:r>
        <w:rPr>
          <w:rFonts w:hint="eastAsia" w:ascii="仿宋" w:hAnsi="仿宋" w:eastAsia="仿宋" w:cs="仿宋"/>
          <w:b w:val="0"/>
          <w:bCs/>
          <w:snapToGrid w:val="0"/>
          <w:color w:val="000000" w:themeColor="text1"/>
          <w:spacing w:val="6"/>
          <w:kern w:val="0"/>
          <w:sz w:val="24"/>
          <w:szCs w:val="24"/>
          <w:vertAlign w:val="subscript"/>
          <w14:textFill>
            <w14:solidFill>
              <w14:schemeClr w14:val="tx1"/>
            </w14:solidFill>
          </w14:textFill>
        </w:rPr>
        <w:t>2</w:t>
      </w:r>
      <w:r>
        <w:rPr>
          <w:rFonts w:hint="eastAsia" w:ascii="仿宋" w:hAnsi="仿宋" w:eastAsia="仿宋" w:cs="仿宋"/>
          <w:b w:val="0"/>
          <w:bCs/>
          <w:snapToGrid w:val="0"/>
          <w:color w:val="000000" w:themeColor="text1"/>
          <w:spacing w:val="6"/>
          <w:kern w:val="0"/>
          <w:sz w:val="24"/>
          <w:szCs w:val="24"/>
          <w14:textFill>
            <w14:solidFill>
              <w14:schemeClr w14:val="tx1"/>
            </w14:solidFill>
          </w14:textFill>
        </w:rPr>
        <w:t>e，碳排放强度为</w:t>
      </w:r>
      <w:r>
        <w:rPr>
          <w:rFonts w:hint="eastAsia" w:ascii="仿宋" w:hAnsi="仿宋" w:eastAsia="仿宋" w:cs="仿宋"/>
          <w:b w:val="0"/>
          <w:bCs/>
          <w:snapToGrid w:val="0"/>
          <w:color w:val="000000" w:themeColor="text1"/>
          <w:spacing w:val="6"/>
          <w:kern w:val="0"/>
          <w:sz w:val="24"/>
          <w:szCs w:val="24"/>
          <w:u w:val="single"/>
          <w:lang w:val="en-US" w:eastAsia="zh-CN"/>
          <w14:textFill>
            <w14:solidFill>
              <w14:schemeClr w14:val="tx1"/>
            </w14:solidFill>
          </w14:textFill>
        </w:rPr>
        <w:t>0.02551</w:t>
      </w:r>
      <w:r>
        <w:rPr>
          <w:rFonts w:hint="eastAsia" w:ascii="仿宋" w:hAnsi="仿宋" w:eastAsia="仿宋" w:cs="仿宋"/>
          <w:b w:val="0"/>
          <w:bCs/>
          <w:snapToGrid w:val="0"/>
          <w:color w:val="000000" w:themeColor="text1"/>
          <w:spacing w:val="6"/>
          <w:kern w:val="0"/>
          <w:sz w:val="24"/>
          <w:szCs w:val="24"/>
          <w:u w:val="single"/>
          <w14:textFill>
            <w14:solidFill>
              <w14:schemeClr w14:val="tx1"/>
            </w14:solidFill>
          </w14:textFill>
        </w:rPr>
        <w:t xml:space="preserve"> </w:t>
      </w:r>
      <w:r>
        <w:rPr>
          <w:rFonts w:hint="eastAsia" w:ascii="仿宋" w:hAnsi="仿宋" w:eastAsia="仿宋" w:cs="仿宋"/>
          <w:b w:val="0"/>
          <w:bCs/>
          <w:snapToGrid w:val="0"/>
          <w:color w:val="000000" w:themeColor="text1"/>
          <w:spacing w:val="6"/>
          <w:kern w:val="0"/>
          <w:sz w:val="24"/>
          <w:szCs w:val="24"/>
          <w14:textFill>
            <w14:solidFill>
              <w14:schemeClr w14:val="tx1"/>
            </w14:solidFill>
          </w14:textFill>
        </w:rPr>
        <w:t>tCO</w:t>
      </w:r>
      <w:r>
        <w:rPr>
          <w:rFonts w:hint="eastAsia" w:ascii="仿宋" w:hAnsi="仿宋" w:eastAsia="仿宋" w:cs="仿宋"/>
          <w:b w:val="0"/>
          <w:bCs/>
          <w:snapToGrid w:val="0"/>
          <w:color w:val="000000" w:themeColor="text1"/>
          <w:spacing w:val="6"/>
          <w:kern w:val="0"/>
          <w:sz w:val="24"/>
          <w:szCs w:val="24"/>
          <w:vertAlign w:val="subscript"/>
          <w14:textFill>
            <w14:solidFill>
              <w14:schemeClr w14:val="tx1"/>
            </w14:solidFill>
          </w14:textFill>
        </w:rPr>
        <w:t>2</w:t>
      </w:r>
      <w:r>
        <w:rPr>
          <w:rFonts w:hint="eastAsia" w:ascii="仿宋" w:hAnsi="仿宋" w:eastAsia="仿宋" w:cs="仿宋"/>
          <w:b w:val="0"/>
          <w:bCs/>
          <w:snapToGrid w:val="0"/>
          <w:color w:val="000000" w:themeColor="text1"/>
          <w:spacing w:val="6"/>
          <w:kern w:val="0"/>
          <w:sz w:val="24"/>
          <w:szCs w:val="24"/>
          <w14:textFill>
            <w14:solidFill>
              <w14:schemeClr w14:val="tx1"/>
            </w14:solidFill>
          </w14:textFill>
        </w:rPr>
        <w:t>e/万元；债券资产产生的碳排放</w:t>
      </w:r>
      <w:r>
        <w:rPr>
          <w:rFonts w:hint="eastAsia" w:ascii="仿宋" w:hAnsi="仿宋" w:eastAsia="仿宋" w:cs="仿宋"/>
          <w:b w:val="0"/>
          <w:bCs/>
          <w:snapToGrid w:val="0"/>
          <w:color w:val="000000" w:themeColor="text1"/>
          <w:spacing w:val="6"/>
          <w:kern w:val="0"/>
          <w:sz w:val="24"/>
          <w:szCs w:val="24"/>
          <w:u w:val="single"/>
          <w:lang w:val="en-US" w:eastAsia="zh-CN"/>
          <w14:textFill>
            <w14:solidFill>
              <w14:schemeClr w14:val="tx1"/>
            </w14:solidFill>
          </w14:textFill>
        </w:rPr>
        <w:t xml:space="preserve"> </w:t>
      </w:r>
      <w:r>
        <w:rPr>
          <w:rFonts w:ascii="仿宋" w:hAnsi="仿宋" w:eastAsia="仿宋" w:cs="仿宋"/>
          <w:color w:val="000000"/>
          <w:spacing w:val="6"/>
          <w:sz w:val="24"/>
          <w:u w:val="single" w:color="auto"/>
        </w:rPr>
        <w:t xml:space="preserve">0 </w:t>
      </w:r>
      <w:r>
        <w:rPr>
          <w:rFonts w:hint="eastAsia" w:ascii="仿宋" w:hAnsi="仿宋" w:eastAsia="仿宋" w:cs="仿宋"/>
          <w:b w:val="0"/>
          <w:bCs/>
          <w:snapToGrid w:val="0"/>
          <w:color w:val="000000" w:themeColor="text1"/>
          <w:spacing w:val="6"/>
          <w:kern w:val="0"/>
          <w:sz w:val="24"/>
          <w:szCs w:val="24"/>
          <w14:textFill>
            <w14:solidFill>
              <w14:schemeClr w14:val="tx1"/>
            </w14:solidFill>
          </w14:textFill>
        </w:rPr>
        <w:t>tCO</w:t>
      </w:r>
      <w:r>
        <w:rPr>
          <w:rFonts w:hint="eastAsia" w:ascii="仿宋" w:hAnsi="仿宋" w:eastAsia="仿宋" w:cs="仿宋"/>
          <w:b w:val="0"/>
          <w:bCs/>
          <w:snapToGrid w:val="0"/>
          <w:color w:val="000000" w:themeColor="text1"/>
          <w:spacing w:val="6"/>
          <w:kern w:val="0"/>
          <w:sz w:val="24"/>
          <w:szCs w:val="24"/>
          <w:vertAlign w:val="subscript"/>
          <w14:textFill>
            <w14:solidFill>
              <w14:schemeClr w14:val="tx1"/>
            </w14:solidFill>
          </w14:textFill>
        </w:rPr>
        <w:t>2</w:t>
      </w:r>
      <w:r>
        <w:rPr>
          <w:rFonts w:hint="eastAsia" w:ascii="仿宋" w:hAnsi="仿宋" w:eastAsia="仿宋" w:cs="仿宋"/>
          <w:b w:val="0"/>
          <w:bCs/>
          <w:snapToGrid w:val="0"/>
          <w:color w:val="000000" w:themeColor="text1"/>
          <w:spacing w:val="6"/>
          <w:kern w:val="0"/>
          <w:sz w:val="24"/>
          <w:szCs w:val="24"/>
          <w14:textFill>
            <w14:solidFill>
              <w14:schemeClr w14:val="tx1"/>
            </w14:solidFill>
          </w14:textFill>
        </w:rPr>
        <w:t>e，碳排放强度为</w:t>
      </w:r>
      <w:r>
        <w:rPr>
          <w:rFonts w:hint="eastAsia" w:ascii="仿宋" w:hAnsi="仿宋" w:eastAsia="仿宋" w:cs="仿宋"/>
          <w:b w:val="0"/>
          <w:bCs/>
          <w:snapToGrid w:val="0"/>
          <w:color w:val="000000" w:themeColor="text1"/>
          <w:spacing w:val="6"/>
          <w:kern w:val="0"/>
          <w:sz w:val="24"/>
          <w:szCs w:val="24"/>
          <w:u w:val="single"/>
          <w14:textFill>
            <w14:solidFill>
              <w14:schemeClr w14:val="tx1"/>
            </w14:solidFill>
          </w14:textFill>
        </w:rPr>
        <w:t xml:space="preserve"> </w:t>
      </w:r>
      <w:r>
        <w:rPr>
          <w:rFonts w:hint="eastAsia" w:ascii="仿宋" w:hAnsi="仿宋" w:eastAsia="仿宋" w:cs="仿宋"/>
          <w:b w:val="0"/>
          <w:bCs/>
          <w:snapToGrid w:val="0"/>
          <w:color w:val="000000" w:themeColor="text1"/>
          <w:spacing w:val="6"/>
          <w:kern w:val="0"/>
          <w:sz w:val="24"/>
          <w:szCs w:val="24"/>
          <w:u w:val="single"/>
          <w:lang w:val="en-US" w:eastAsia="zh-CN"/>
          <w14:textFill>
            <w14:solidFill>
              <w14:schemeClr w14:val="tx1"/>
            </w14:solidFill>
          </w14:textFill>
        </w:rPr>
        <w:t>0</w:t>
      </w:r>
      <w:r>
        <w:rPr>
          <w:rFonts w:hint="eastAsia" w:ascii="仿宋" w:hAnsi="仿宋" w:eastAsia="仿宋" w:cs="仿宋"/>
          <w:b w:val="0"/>
          <w:bCs/>
          <w:snapToGrid w:val="0"/>
          <w:color w:val="000000" w:themeColor="text1"/>
          <w:spacing w:val="6"/>
          <w:kern w:val="0"/>
          <w:sz w:val="24"/>
          <w:szCs w:val="24"/>
          <w:u w:val="single"/>
          <w14:textFill>
            <w14:solidFill>
              <w14:schemeClr w14:val="tx1"/>
            </w14:solidFill>
          </w14:textFill>
        </w:rPr>
        <w:t xml:space="preserve"> </w:t>
      </w:r>
      <w:r>
        <w:rPr>
          <w:rFonts w:hint="eastAsia" w:ascii="仿宋" w:hAnsi="仿宋" w:eastAsia="仿宋" w:cs="仿宋"/>
          <w:b w:val="0"/>
          <w:bCs/>
          <w:snapToGrid w:val="0"/>
          <w:color w:val="000000" w:themeColor="text1"/>
          <w:spacing w:val="6"/>
          <w:kern w:val="0"/>
          <w:sz w:val="24"/>
          <w:szCs w:val="24"/>
          <w14:textFill>
            <w14:solidFill>
              <w14:schemeClr w14:val="tx1"/>
            </w14:solidFill>
          </w14:textFill>
        </w:rPr>
        <w:t>tCO</w:t>
      </w:r>
      <w:r>
        <w:rPr>
          <w:rFonts w:hint="eastAsia" w:ascii="仿宋" w:hAnsi="仿宋" w:eastAsia="仿宋" w:cs="仿宋"/>
          <w:b w:val="0"/>
          <w:bCs/>
          <w:snapToGrid w:val="0"/>
          <w:color w:val="000000" w:themeColor="text1"/>
          <w:spacing w:val="6"/>
          <w:kern w:val="0"/>
          <w:sz w:val="24"/>
          <w:szCs w:val="24"/>
          <w:vertAlign w:val="subscript"/>
          <w14:textFill>
            <w14:solidFill>
              <w14:schemeClr w14:val="tx1"/>
            </w14:solidFill>
          </w14:textFill>
        </w:rPr>
        <w:t>2</w:t>
      </w:r>
      <w:r>
        <w:rPr>
          <w:rFonts w:hint="eastAsia" w:ascii="仿宋" w:hAnsi="仿宋" w:eastAsia="仿宋" w:cs="仿宋"/>
          <w:b w:val="0"/>
          <w:bCs/>
          <w:snapToGrid w:val="0"/>
          <w:color w:val="000000" w:themeColor="text1"/>
          <w:spacing w:val="6"/>
          <w:kern w:val="0"/>
          <w:sz w:val="24"/>
          <w:szCs w:val="24"/>
          <w14:textFill>
            <w14:solidFill>
              <w14:schemeClr w14:val="tx1"/>
            </w14:solidFill>
          </w14:textFill>
        </w:rPr>
        <w:t>e/万元；投融资活动总碳排放量</w:t>
      </w:r>
      <w:r>
        <w:rPr>
          <w:rFonts w:hint="eastAsia" w:ascii="仿宋" w:hAnsi="仿宋" w:eastAsia="仿宋" w:cs="仿宋"/>
          <w:b w:val="0"/>
          <w:bCs/>
          <w:snapToGrid w:val="0"/>
          <w:color w:val="000000" w:themeColor="text1"/>
          <w:spacing w:val="6"/>
          <w:kern w:val="0"/>
          <w:sz w:val="24"/>
          <w:szCs w:val="24"/>
          <w:u w:val="single"/>
          <w:lang w:val="en-US" w:eastAsia="zh-CN"/>
          <w14:textFill>
            <w14:solidFill>
              <w14:schemeClr w14:val="tx1"/>
            </w14:solidFill>
          </w14:textFill>
        </w:rPr>
        <w:t xml:space="preserve"> </w:t>
      </w:r>
      <w:r>
        <w:rPr>
          <w:rFonts w:ascii="仿宋" w:hAnsi="仿宋" w:eastAsia="仿宋" w:cs="仿宋"/>
          <w:color w:val="000000"/>
          <w:spacing w:val="6"/>
          <w:sz w:val="24"/>
          <w:u w:val="single" w:color="auto"/>
        </w:rPr>
        <w:t xml:space="preserve">374159.60 </w:t>
      </w:r>
      <w:r>
        <w:rPr>
          <w:rFonts w:hint="eastAsia" w:ascii="仿宋" w:hAnsi="仿宋" w:eastAsia="仿宋" w:cs="仿宋"/>
          <w:b w:val="0"/>
          <w:bCs/>
          <w:snapToGrid w:val="0"/>
          <w:color w:val="000000" w:themeColor="text1"/>
          <w:spacing w:val="6"/>
          <w:kern w:val="0"/>
          <w:sz w:val="24"/>
          <w:szCs w:val="24"/>
          <w14:textFill>
            <w14:solidFill>
              <w14:schemeClr w14:val="tx1"/>
            </w14:solidFill>
          </w14:textFill>
        </w:rPr>
        <w:t>tCO</w:t>
      </w:r>
      <w:r>
        <w:rPr>
          <w:rFonts w:hint="eastAsia" w:ascii="仿宋" w:hAnsi="仿宋" w:eastAsia="仿宋" w:cs="仿宋"/>
          <w:b w:val="0"/>
          <w:bCs/>
          <w:snapToGrid w:val="0"/>
          <w:color w:val="000000" w:themeColor="text1"/>
          <w:spacing w:val="6"/>
          <w:kern w:val="0"/>
          <w:sz w:val="24"/>
          <w:szCs w:val="24"/>
          <w:vertAlign w:val="subscript"/>
          <w14:textFill>
            <w14:solidFill>
              <w14:schemeClr w14:val="tx1"/>
            </w14:solidFill>
          </w14:textFill>
        </w:rPr>
        <w:t>2</w:t>
      </w:r>
      <w:r>
        <w:rPr>
          <w:rFonts w:hint="eastAsia" w:ascii="仿宋" w:hAnsi="仿宋" w:eastAsia="仿宋" w:cs="仿宋"/>
          <w:b w:val="0"/>
          <w:bCs/>
          <w:snapToGrid w:val="0"/>
          <w:color w:val="000000" w:themeColor="text1"/>
          <w:spacing w:val="6"/>
          <w:kern w:val="0"/>
          <w:sz w:val="24"/>
          <w:szCs w:val="24"/>
          <w14:textFill>
            <w14:solidFill>
              <w14:schemeClr w14:val="tx1"/>
            </w14:solidFill>
          </w14:textFill>
        </w:rPr>
        <w:t>e，碳排放强度为</w:t>
      </w:r>
      <w:r>
        <w:rPr>
          <w:rFonts w:hint="eastAsia" w:ascii="仿宋" w:hAnsi="仿宋" w:eastAsia="仿宋" w:cs="仿宋"/>
          <w:b w:val="0"/>
          <w:bCs/>
          <w:snapToGrid w:val="0"/>
          <w:color w:val="000000" w:themeColor="text1"/>
          <w:spacing w:val="6"/>
          <w:kern w:val="0"/>
          <w:sz w:val="24"/>
          <w:szCs w:val="24"/>
          <w:u w:val="single"/>
          <w14:textFill>
            <w14:solidFill>
              <w14:schemeClr w14:val="tx1"/>
            </w14:solidFill>
          </w14:textFill>
        </w:rPr>
        <w:t xml:space="preserve"> </w:t>
      </w:r>
      <w:r>
        <w:rPr>
          <w:rFonts w:hint="eastAsia" w:ascii="仿宋" w:hAnsi="仿宋" w:eastAsia="仿宋" w:cs="仿宋"/>
          <w:b w:val="0"/>
          <w:bCs/>
          <w:snapToGrid w:val="0"/>
          <w:color w:val="000000" w:themeColor="text1"/>
          <w:spacing w:val="6"/>
          <w:kern w:val="0"/>
          <w:sz w:val="24"/>
          <w:szCs w:val="24"/>
          <w:u w:val="single"/>
          <w:lang w:val="en-US" w:eastAsia="zh-CN"/>
          <w14:textFill>
            <w14:solidFill>
              <w14:schemeClr w14:val="tx1"/>
            </w14:solidFill>
          </w14:textFill>
        </w:rPr>
        <w:t>0.02551</w:t>
      </w:r>
      <w:r>
        <w:rPr>
          <w:rFonts w:hint="eastAsia" w:ascii="仿宋" w:hAnsi="仿宋" w:eastAsia="仿宋" w:cs="仿宋"/>
          <w:b w:val="0"/>
          <w:bCs/>
          <w:snapToGrid w:val="0"/>
          <w:color w:val="000000" w:themeColor="text1"/>
          <w:spacing w:val="6"/>
          <w:kern w:val="0"/>
          <w:sz w:val="24"/>
          <w:szCs w:val="24"/>
          <w:u w:val="single"/>
          <w14:textFill>
            <w14:solidFill>
              <w14:schemeClr w14:val="tx1"/>
            </w14:solidFill>
          </w14:textFill>
        </w:rPr>
        <w:t xml:space="preserve"> </w:t>
      </w:r>
      <w:r>
        <w:rPr>
          <w:rFonts w:hint="eastAsia" w:ascii="仿宋" w:hAnsi="仿宋" w:eastAsia="仿宋" w:cs="仿宋"/>
          <w:b w:val="0"/>
          <w:bCs/>
          <w:snapToGrid w:val="0"/>
          <w:color w:val="000000" w:themeColor="text1"/>
          <w:spacing w:val="6"/>
          <w:kern w:val="0"/>
          <w:sz w:val="24"/>
          <w:szCs w:val="24"/>
          <w14:textFill>
            <w14:solidFill>
              <w14:schemeClr w14:val="tx1"/>
            </w14:solidFill>
          </w14:textFill>
        </w:rPr>
        <w:t>tCO</w:t>
      </w:r>
      <w:r>
        <w:rPr>
          <w:rFonts w:hint="eastAsia" w:ascii="仿宋" w:hAnsi="仿宋" w:eastAsia="仿宋" w:cs="仿宋"/>
          <w:b w:val="0"/>
          <w:bCs/>
          <w:snapToGrid w:val="0"/>
          <w:color w:val="000000" w:themeColor="text1"/>
          <w:spacing w:val="6"/>
          <w:kern w:val="0"/>
          <w:sz w:val="24"/>
          <w:szCs w:val="24"/>
          <w:vertAlign w:val="subscript"/>
          <w14:textFill>
            <w14:solidFill>
              <w14:schemeClr w14:val="tx1"/>
            </w14:solidFill>
          </w14:textFill>
        </w:rPr>
        <w:t>2</w:t>
      </w:r>
      <w:r>
        <w:rPr>
          <w:rFonts w:hint="eastAsia" w:ascii="仿宋" w:hAnsi="仿宋" w:eastAsia="仿宋" w:cs="仿宋"/>
          <w:b w:val="0"/>
          <w:bCs/>
          <w:snapToGrid w:val="0"/>
          <w:color w:val="000000" w:themeColor="text1"/>
          <w:spacing w:val="6"/>
          <w:kern w:val="0"/>
          <w:sz w:val="24"/>
          <w:szCs w:val="24"/>
          <w14:textFill>
            <w14:solidFill>
              <w14:schemeClr w14:val="tx1"/>
            </w14:solidFill>
          </w14:textFill>
        </w:rPr>
        <w:t>e/万元。</w:t>
      </w:r>
    </w:p>
    <w:p>
      <w:pPr>
        <w:widowControl/>
        <w:spacing w:line="240" w:lineRule="auto"/>
        <w:ind w:firstLine="0" w:firstLineChars="0"/>
        <w:jc w:val="center"/>
        <w:rPr>
          <w:rFonts w:hint="eastAsia" w:ascii="宋体" w:hAnsi="宋体" w:eastAsia="宋体" w:cs="宋体"/>
          <w:b w:val="0"/>
          <w:bCs/>
          <w:color w:val="0070C0"/>
          <w:kern w:val="0"/>
          <w:sz w:val="18"/>
          <w:szCs w:val="18"/>
          <w:lang w:val="en-US" w:eastAsia="zh-CN"/>
        </w:rPr>
      </w:pPr>
      <w:r>
        <w:rPr>
          <w:rFonts w:hint="eastAsia" w:ascii="宋体" w:hAnsi="宋体" w:eastAsia="宋体" w:cs="宋体"/>
          <w:b w:val="0"/>
          <w:bCs/>
          <w:color w:val="0070C0"/>
          <w:kern w:val="0"/>
          <w:sz w:val="18"/>
          <w:szCs w:val="18"/>
          <w:lang w:val="en-US" w:eastAsia="zh-CN"/>
        </w:rPr>
        <w:t>7-3投融资（信贷+债券）碳排放</w:t>
      </w:r>
    </w:p>
    <w:tbl>
      <w:tblPr>
        <w:tblStyle w:val="21"/>
        <w:tblW w:w="9766" w:type="dxa"/>
        <w:jc w:val="center"/>
        <w:tblLayout w:type="fixed"/>
        <w:tblCellMar>
          <w:top w:w="0" w:type="dxa"/>
          <w:left w:w="108" w:type="dxa"/>
          <w:bottom w:w="0" w:type="dxa"/>
          <w:right w:w="108" w:type="dxa"/>
        </w:tblCellMar>
      </w:tblPr>
      <w:tblGrid>
        <w:gridCol w:w="1905"/>
        <w:gridCol w:w="3738"/>
        <w:gridCol w:w="1340"/>
        <w:gridCol w:w="1306"/>
        <w:gridCol w:w="1477"/>
      </w:tblGrid>
      <w:tr>
        <w:tblPrEx>
          <w:tblCellMar>
            <w:top w:w="0" w:type="dxa"/>
            <w:left w:w="108" w:type="dxa"/>
            <w:bottom w:w="0" w:type="dxa"/>
            <w:right w:w="108" w:type="dxa"/>
          </w:tblCellMar>
        </w:tblPrEx>
        <w:trPr>
          <w:trHeight w:val="325" w:hRule="atLeast"/>
          <w:jc w:val="center"/>
        </w:trPr>
        <w:tc>
          <w:tcPr>
            <w:tcW w:w="1905" w:type="dxa"/>
            <w:tcBorders>
              <w:top w:val="single" w:color="000000" w:sz="4" w:space="0"/>
              <w:left w:val="single" w:color="000000" w:sz="4" w:space="0"/>
              <w:bottom w:val="single" w:color="000000" w:sz="4" w:space="0"/>
              <w:right w:val="single" w:color="000000" w:sz="4" w:space="0"/>
            </w:tcBorders>
            <w:noWrap/>
            <w:vAlign w:val="center"/>
          </w:tcPr>
          <w:p>
            <w:r>
              <w:rPr>
                <w:rFonts w:ascii="宋体" w:hAnsi="宋体" w:eastAsia="宋体" w:cs="宋体"/>
                <w:b/>
                <w:sz w:val="18"/>
              </w:rPr>
              <w:t>资产类别</w:t>
            </w:r>
          </w:p>
        </w:tc>
        <w:tc>
          <w:tcPr>
            <w:tcW w:w="373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firstLine="0" w:firstLineChars="0"/>
              <w:jc w:val="center"/>
              <w:rPr>
                <w:rFonts w:hint="eastAsia" w:ascii="宋体" w:hAnsi="宋体" w:eastAsia="宋体" w:cs="宋体"/>
                <w:b/>
                <w:bCs w:val="0"/>
                <w:color w:val="000000" w:themeColor="text1"/>
                <w:kern w:val="0"/>
                <w:sz w:val="18"/>
                <w:szCs w:val="18"/>
                <w14:textFill>
                  <w14:solidFill>
                    <w14:schemeClr w14:val="tx1"/>
                  </w14:solidFill>
                </w14:textFill>
              </w:rPr>
            </w:pPr>
            <w:r>
              <w:rPr>
                <w:rFonts w:hint="eastAsia" w:ascii="宋体" w:hAnsi="宋体" w:eastAsia="宋体" w:cs="宋体"/>
                <w:b/>
                <w:bCs w:val="0"/>
                <w:color w:val="000000" w:themeColor="text1"/>
                <w:kern w:val="0"/>
                <w:sz w:val="18"/>
                <w:szCs w:val="18"/>
                <w14:textFill>
                  <w14:solidFill>
                    <w14:schemeClr w14:val="tx1"/>
                  </w14:solidFill>
                </w14:textFill>
              </w:rPr>
              <w:t>指标名称</w:t>
            </w:r>
          </w:p>
        </w:tc>
        <w:tc>
          <w:tcPr>
            <w:tcW w:w="1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firstLine="0" w:firstLineChars="0"/>
              <w:jc w:val="center"/>
              <w:rPr>
                <w:rFonts w:hint="eastAsia" w:ascii="宋体" w:hAnsi="宋体" w:eastAsia="宋体" w:cs="宋体"/>
                <w:b/>
                <w:bCs w:val="0"/>
                <w:color w:val="000000" w:themeColor="text1"/>
                <w:kern w:val="0"/>
                <w:sz w:val="18"/>
                <w:szCs w:val="18"/>
                <w14:textFill>
                  <w14:solidFill>
                    <w14:schemeClr w14:val="tx1"/>
                  </w14:solidFill>
                </w14:textFill>
              </w:rPr>
            </w:pPr>
            <w:r>
              <w:rPr>
                <w:rFonts w:hint="eastAsia" w:ascii="宋体" w:hAnsi="宋体" w:eastAsia="宋体" w:cs="宋体"/>
                <w:b/>
                <w:bCs w:val="0"/>
                <w:color w:val="000000" w:themeColor="text1"/>
                <w:kern w:val="0"/>
                <w:sz w:val="18"/>
                <w:szCs w:val="18"/>
                <w14:textFill>
                  <w14:solidFill>
                    <w14:schemeClr w14:val="tx1"/>
                  </w14:solidFill>
                </w14:textFill>
              </w:rPr>
              <w:t>单位</w:t>
            </w:r>
          </w:p>
        </w:tc>
        <w:tc>
          <w:tcPr>
            <w:tcW w:w="130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firstLine="0" w:firstLineChars="0"/>
              <w:jc w:val="center"/>
              <w:rPr>
                <w:rFonts w:hint="eastAsia" w:ascii="宋体" w:hAnsi="宋体" w:eastAsia="宋体" w:cs="宋体"/>
                <w:b/>
                <w:bCs w:val="0"/>
                <w:color w:val="000000" w:themeColor="text1"/>
                <w:kern w:val="0"/>
                <w:sz w:val="18"/>
                <w:szCs w:val="18"/>
                <w14:textFill>
                  <w14:solidFill>
                    <w14:schemeClr w14:val="tx1"/>
                  </w14:solidFill>
                </w14:textFill>
              </w:rPr>
            </w:pPr>
            <w:r>
              <w:rPr>
                <w:rFonts w:hint="eastAsia" w:ascii="宋体" w:hAnsi="宋体" w:eastAsia="宋体" w:cs="宋体"/>
                <w:b/>
                <w:bCs w:val="0"/>
                <w:i w:val="0"/>
                <w:iCs w:val="0"/>
                <w:color w:val="000000" w:themeColor="text1"/>
                <w:kern w:val="0"/>
                <w:sz w:val="18"/>
                <w:szCs w:val="18"/>
                <w:u w:val="none"/>
                <w:lang w:val="en-US" w:eastAsia="zh-CN" w:bidi="ar"/>
                <w14:textFill>
                  <w14:solidFill>
                    <w14:schemeClr w14:val="tx1"/>
                  </w14:solidFill>
                </w14:textFill>
              </w:rPr>
              <w:t>2025</w:t>
            </w:r>
            <w:r>
              <w:rPr>
                <w:rFonts w:hint="eastAsia" w:ascii="宋体" w:hAnsi="宋体" w:eastAsia="宋体" w:cs="宋体"/>
                <w:b/>
                <w:bCs w:val="0"/>
                <w:color w:val="000000" w:themeColor="text1"/>
                <w:kern w:val="0"/>
                <w:sz w:val="18"/>
                <w:szCs w:val="18"/>
                <w14:textFill>
                  <w14:solidFill>
                    <w14:schemeClr w14:val="tx1"/>
                  </w14:solidFill>
                </w14:textFill>
              </w:rPr>
              <w:t>年</w:t>
            </w:r>
          </w:p>
        </w:tc>
        <w:tc>
          <w:tcPr>
            <w:tcW w:w="147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firstLine="0" w:firstLineChars="0"/>
              <w:jc w:val="center"/>
              <w:rPr>
                <w:rFonts w:hint="eastAsia" w:ascii="宋体" w:hAnsi="宋体" w:eastAsia="宋体" w:cs="宋体"/>
                <w:b/>
                <w:bCs w:val="0"/>
                <w:color w:val="000000" w:themeColor="text1"/>
                <w:kern w:val="0"/>
                <w:sz w:val="18"/>
                <w:szCs w:val="18"/>
                <w14:textFill>
                  <w14:solidFill>
                    <w14:schemeClr w14:val="tx1"/>
                  </w14:solidFill>
                </w14:textFill>
              </w:rPr>
            </w:pPr>
            <w:r>
              <w:rPr>
                <w:rFonts w:hint="eastAsia" w:ascii="宋体" w:hAnsi="宋体" w:eastAsia="宋体" w:cs="宋体"/>
                <w:b/>
                <w:bCs w:val="0"/>
                <w:i w:val="0"/>
                <w:iCs w:val="0"/>
                <w:color w:val="000000" w:themeColor="text1"/>
                <w:kern w:val="0"/>
                <w:sz w:val="18"/>
                <w:szCs w:val="18"/>
                <w:u w:val="none"/>
                <w:lang w:val="en-US" w:eastAsia="zh-CN" w:bidi="ar"/>
                <w14:textFill>
                  <w14:solidFill>
                    <w14:schemeClr w14:val="tx1"/>
                  </w14:solidFill>
                </w14:textFill>
              </w:rPr>
              <w:t>2024</w:t>
            </w:r>
            <w:r>
              <w:rPr>
                <w:rFonts w:hint="eastAsia" w:ascii="宋体" w:hAnsi="宋体" w:eastAsia="宋体" w:cs="宋体"/>
                <w:b/>
                <w:bCs w:val="0"/>
                <w:color w:val="000000" w:themeColor="text1"/>
                <w:kern w:val="0"/>
                <w:sz w:val="18"/>
                <w:szCs w:val="18"/>
                <w14:textFill>
                  <w14:solidFill>
                    <w14:schemeClr w14:val="tx1"/>
                  </w14:solidFill>
                </w14:textFill>
              </w:rPr>
              <w:t>年</w:t>
            </w:r>
          </w:p>
        </w:tc>
      </w:tr>
      <w:tr>
        <w:tblPrEx>
          <w:tblCellMar>
            <w:top w:w="0" w:type="dxa"/>
            <w:left w:w="108" w:type="dxa"/>
            <w:bottom w:w="0" w:type="dxa"/>
            <w:right w:w="108" w:type="dxa"/>
          </w:tblCellMar>
        </w:tblPrEx>
        <w:trPr>
          <w:trHeight w:val="325" w:hRule="atLeast"/>
          <w:jc w:val="center"/>
        </w:trPr>
        <w:tc>
          <w:tcPr>
            <w:tcW w:w="1905"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信贷资产</w:t>
            </w:r>
          </w:p>
        </w:tc>
        <w:tc>
          <w:tcPr>
            <w:tcW w:w="373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firstLine="360" w:firstLineChars="20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投融资碳排放量</w:t>
            </w:r>
          </w:p>
        </w:tc>
        <w:tc>
          <w:tcPr>
            <w:tcW w:w="1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left="0" w:leftChars="0" w:firstLine="0" w:firstLineChars="0"/>
              <w:jc w:val="center"/>
              <w:rPr>
                <w:rFonts w:hint="default" w:ascii="宋体" w:hAnsi="宋体" w:eastAsia="宋体" w:cs="宋体"/>
                <w:b w:val="0"/>
                <w:bCs/>
                <w:color w:val="000000" w:themeColor="text1"/>
                <w:kern w:val="0"/>
                <w:sz w:val="18"/>
                <w:szCs w:val="18"/>
                <w:lang w:val="en-US"/>
                <w14:textFill>
                  <w14:solidFill>
                    <w14:schemeClr w14:val="tx1"/>
                  </w14:solidFill>
                </w14:textFill>
              </w:rPr>
            </w:pPr>
            <w:r>
              <w:rPr>
                <w:rFonts w:hint="eastAsia" w:ascii="宋体" w:hAnsi="宋体" w:eastAsia="宋体" w:cs="宋体"/>
                <w:b w:val="0"/>
                <w:bCs/>
                <w:color w:val="000000"/>
                <w:kern w:val="0"/>
                <w:sz w:val="18"/>
                <w:szCs w:val="18"/>
                <w:lang w:val="en-US" w:eastAsia="zh-CN"/>
              </w:rPr>
              <w:t>tCO2e</w:t>
            </w:r>
          </w:p>
        </w:tc>
        <w:tc>
          <w:tcPr>
            <w:tcW w:w="130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left="0" w:leftChars="0"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374159.60183</w:t>
            </w:r>
          </w:p>
        </w:tc>
        <w:tc>
          <w:tcPr>
            <w:tcW w:w="147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left="0" w:leftChars="0"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214547.13267</w:t>
            </w:r>
          </w:p>
        </w:tc>
      </w:tr>
      <w:tr>
        <w:tblPrEx>
          <w:tblCellMar>
            <w:top w:w="0" w:type="dxa"/>
            <w:left w:w="108" w:type="dxa"/>
            <w:bottom w:w="0" w:type="dxa"/>
            <w:right w:w="108" w:type="dxa"/>
          </w:tblCellMar>
        </w:tblPrEx>
        <w:trPr>
          <w:trHeight w:val="325" w:hRule="atLeast"/>
          <w:jc w:val="center"/>
        </w:trPr>
        <w:tc>
          <w:tcPr>
            <w:tcW w:w="1905"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信贷资产</w:t>
            </w:r>
          </w:p>
        </w:tc>
        <w:tc>
          <w:tcPr>
            <w:tcW w:w="373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firstLine="360" w:firstLineChars="20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纳入碳排放核算的投融资业务比例</w:t>
            </w:r>
          </w:p>
        </w:tc>
        <w:tc>
          <w:tcPr>
            <w:tcW w:w="1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left="0" w:leftChars="0" w:firstLine="0" w:firstLineChars="0"/>
              <w:jc w:val="center"/>
              <w:rPr>
                <w:rFonts w:hint="default" w:ascii="宋体" w:hAnsi="宋体" w:eastAsia="宋体" w:cs="宋体"/>
                <w:b w:val="0"/>
                <w:bCs/>
                <w:color w:val="000000" w:themeColor="text1"/>
                <w:kern w:val="0"/>
                <w:sz w:val="18"/>
                <w:szCs w:val="18"/>
                <w:lang w:val="en-US"/>
                <w14:textFill>
                  <w14:solidFill>
                    <w14:schemeClr w14:val="tx1"/>
                  </w14:solidFill>
                </w14:textFill>
              </w:rPr>
            </w:pPr>
            <w:r>
              <w:rPr>
                <w:rFonts w:hint="eastAsia" w:ascii="宋体" w:hAnsi="宋体" w:eastAsia="宋体" w:cs="宋体"/>
                <w:b w:val="0"/>
                <w:bCs/>
                <w:color w:val="000000"/>
                <w:kern w:val="0"/>
                <w:sz w:val="18"/>
                <w:szCs w:val="18"/>
                <w:lang w:val="en-US" w:eastAsia="zh-CN"/>
              </w:rPr>
              <w:t>%</w:t>
            </w:r>
          </w:p>
        </w:tc>
        <w:tc>
          <w:tcPr>
            <w:tcW w:w="13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bidi w:val="0"/>
              <w:spacing w:line="240" w:lineRule="auto"/>
              <w:ind w:left="0" w:leftChars="0"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仿宋" w:hAnsi="仿宋" w:eastAsia="仿宋" w:cs="仿宋"/>
                <w:b w:val="0"/>
                <w:bCs/>
                <w:color w:val="000000" w:themeColor="text1"/>
                <w:kern w:val="0"/>
                <w:sz w:val="24"/>
                <w:szCs w:val="24"/>
                <w:lang w:val="en-US" w:eastAsia="zh-CN"/>
                <w14:textFill>
                  <w14:solidFill>
                    <w14:schemeClr w14:val="tx1"/>
                  </w14:solidFill>
                </w14:textFill>
              </w:rPr>
              <w:t>/</w:t>
            </w:r>
          </w:p>
        </w:tc>
        <w:tc>
          <w:tcPr>
            <w:tcW w:w="147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bidi w:val="0"/>
              <w:spacing w:line="240" w:lineRule="auto"/>
              <w:ind w:left="0" w:leftChars="0"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仿宋" w:hAnsi="仿宋" w:eastAsia="仿宋" w:cs="仿宋"/>
                <w:b w:val="0"/>
                <w:bCs/>
                <w:color w:val="000000" w:themeColor="text1"/>
                <w:kern w:val="0"/>
                <w:sz w:val="24"/>
                <w:szCs w:val="24"/>
                <w:lang w:val="en-US" w:eastAsia="zh-CN"/>
                <w14:textFill>
                  <w14:solidFill>
                    <w14:schemeClr w14:val="tx1"/>
                  </w14:solidFill>
                </w14:textFill>
              </w:rPr>
              <w:t>/</w:t>
            </w:r>
          </w:p>
        </w:tc>
      </w:tr>
      <w:tr>
        <w:tblPrEx>
          <w:tblCellMar>
            <w:top w:w="0" w:type="dxa"/>
            <w:left w:w="108" w:type="dxa"/>
            <w:bottom w:w="0" w:type="dxa"/>
            <w:right w:w="108" w:type="dxa"/>
          </w:tblCellMar>
        </w:tblPrEx>
        <w:trPr>
          <w:trHeight w:val="325" w:hRule="atLeast"/>
          <w:jc w:val="center"/>
        </w:trPr>
        <w:tc>
          <w:tcPr>
            <w:tcW w:w="1905"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信贷资产</w:t>
            </w:r>
          </w:p>
        </w:tc>
        <w:tc>
          <w:tcPr>
            <w:tcW w:w="373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firstLine="360" w:firstLineChars="20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纳入碳排放核算的贷款月均融资余额</w:t>
            </w:r>
          </w:p>
        </w:tc>
        <w:tc>
          <w:tcPr>
            <w:tcW w:w="1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left="0" w:leftChars="0" w:firstLine="0" w:firstLineChars="0"/>
              <w:jc w:val="center"/>
              <w:rPr>
                <w:rFonts w:hint="default" w:ascii="宋体" w:hAnsi="宋体" w:eastAsia="宋体" w:cs="宋体"/>
                <w:b w:val="0"/>
                <w:bCs/>
                <w:color w:val="000000" w:themeColor="text1"/>
                <w:kern w:val="0"/>
                <w:sz w:val="18"/>
                <w:szCs w:val="18"/>
                <w:lang w:val="en-US"/>
                <w14:textFill>
                  <w14:solidFill>
                    <w14:schemeClr w14:val="tx1"/>
                  </w14:solidFill>
                </w14:textFill>
              </w:rPr>
            </w:pPr>
            <w:r>
              <w:rPr>
                <w:rFonts w:hint="eastAsia" w:ascii="宋体" w:hAnsi="宋体" w:eastAsia="宋体" w:cs="宋体"/>
                <w:b w:val="0"/>
                <w:bCs/>
                <w:color w:val="000000"/>
                <w:kern w:val="0"/>
                <w:sz w:val="18"/>
                <w:szCs w:val="18"/>
                <w:lang w:val="en-US" w:eastAsia="zh-CN"/>
              </w:rPr>
              <w:t>万元</w:t>
            </w:r>
          </w:p>
        </w:tc>
        <w:tc>
          <w:tcPr>
            <w:tcW w:w="130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left="0" w:leftChars="0"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14667747.94</w:t>
            </w:r>
          </w:p>
        </w:tc>
        <w:tc>
          <w:tcPr>
            <w:tcW w:w="147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left="0" w:leftChars="0"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10422618.41462</w:t>
            </w:r>
          </w:p>
        </w:tc>
      </w:tr>
      <w:tr>
        <w:tblPrEx>
          <w:tblCellMar>
            <w:top w:w="0" w:type="dxa"/>
            <w:left w:w="108" w:type="dxa"/>
            <w:bottom w:w="0" w:type="dxa"/>
            <w:right w:w="108" w:type="dxa"/>
          </w:tblCellMar>
        </w:tblPrEx>
        <w:trPr>
          <w:trHeight w:val="325" w:hRule="atLeast"/>
          <w:jc w:val="center"/>
        </w:trPr>
        <w:tc>
          <w:tcPr>
            <w:tcW w:w="1905"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信贷资产</w:t>
            </w:r>
          </w:p>
        </w:tc>
        <w:tc>
          <w:tcPr>
            <w:tcW w:w="373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firstLine="360" w:firstLineChars="20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投融资碳排放强度*</w:t>
            </w:r>
          </w:p>
        </w:tc>
        <w:tc>
          <w:tcPr>
            <w:tcW w:w="1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left="0" w:leftChars="0" w:firstLine="0" w:firstLineChars="0"/>
              <w:jc w:val="center"/>
              <w:rPr>
                <w:rFonts w:hint="default" w:ascii="宋体" w:hAnsi="宋体" w:eastAsia="宋体" w:cs="宋体"/>
                <w:b w:val="0"/>
                <w:bCs/>
                <w:color w:val="000000" w:themeColor="text1"/>
                <w:kern w:val="0"/>
                <w:sz w:val="18"/>
                <w:szCs w:val="18"/>
                <w:lang w:val="en-US"/>
                <w14:textFill>
                  <w14:solidFill>
                    <w14:schemeClr w14:val="tx1"/>
                  </w14:solidFill>
                </w14:textFill>
              </w:rPr>
            </w:pPr>
            <w:r>
              <w:rPr>
                <w:rFonts w:hint="eastAsia" w:ascii="宋体" w:hAnsi="宋体" w:eastAsia="宋体" w:cs="宋体"/>
                <w:b w:val="0"/>
                <w:bCs/>
                <w:color w:val="000000"/>
                <w:kern w:val="0"/>
                <w:sz w:val="18"/>
                <w:szCs w:val="18"/>
                <w:lang w:val="en-US" w:eastAsia="zh-CN"/>
              </w:rPr>
              <w:t>tCO2e/万元</w:t>
            </w:r>
          </w:p>
        </w:tc>
        <w:tc>
          <w:tcPr>
            <w:tcW w:w="130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left="0" w:leftChars="0"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0.02551</w:t>
            </w:r>
          </w:p>
        </w:tc>
        <w:tc>
          <w:tcPr>
            <w:tcW w:w="147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left="0" w:leftChars="0"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0.02058</w:t>
            </w:r>
          </w:p>
        </w:tc>
      </w:tr>
      <w:tr>
        <w:tblPrEx>
          <w:tblCellMar>
            <w:top w:w="0" w:type="dxa"/>
            <w:left w:w="108" w:type="dxa"/>
            <w:bottom w:w="0" w:type="dxa"/>
            <w:right w:w="108" w:type="dxa"/>
          </w:tblCellMar>
        </w:tblPrEx>
        <w:trPr>
          <w:trHeight w:val="325" w:hRule="atLeast"/>
          <w:jc w:val="center"/>
        </w:trPr>
        <w:tc>
          <w:tcPr>
            <w:tcW w:w="1905"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债券资产</w:t>
            </w:r>
          </w:p>
        </w:tc>
        <w:tc>
          <w:tcPr>
            <w:tcW w:w="373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firstLine="360" w:firstLineChars="20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投融资碳排放量</w:t>
            </w:r>
          </w:p>
        </w:tc>
        <w:tc>
          <w:tcPr>
            <w:tcW w:w="1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left="0" w:leftChars="0" w:firstLine="0" w:firstLineChars="0"/>
              <w:jc w:val="center"/>
              <w:rPr>
                <w:rFonts w:hint="default" w:ascii="宋体" w:hAnsi="宋体" w:eastAsia="宋体" w:cs="宋体"/>
                <w:b w:val="0"/>
                <w:bCs/>
                <w:color w:val="000000" w:themeColor="text1"/>
                <w:kern w:val="0"/>
                <w:sz w:val="18"/>
                <w:szCs w:val="18"/>
                <w:lang w:val="en-US"/>
                <w14:textFill>
                  <w14:solidFill>
                    <w14:schemeClr w14:val="tx1"/>
                  </w14:solidFill>
                </w14:textFill>
              </w:rPr>
            </w:pPr>
            <w:r>
              <w:rPr>
                <w:rFonts w:hint="eastAsia" w:ascii="宋体" w:hAnsi="宋体" w:eastAsia="宋体" w:cs="宋体"/>
                <w:b w:val="0"/>
                <w:bCs/>
                <w:color w:val="000000"/>
                <w:kern w:val="0"/>
                <w:sz w:val="18"/>
                <w:szCs w:val="18"/>
                <w:lang w:val="en-US" w:eastAsia="zh-CN"/>
              </w:rPr>
              <w:t>tCO2e</w:t>
            </w:r>
          </w:p>
        </w:tc>
        <w:tc>
          <w:tcPr>
            <w:tcW w:w="130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left="0" w:leftChars="0"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0</w:t>
            </w:r>
          </w:p>
        </w:tc>
        <w:tc>
          <w:tcPr>
            <w:tcW w:w="147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left="0" w:leftChars="0"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0</w:t>
            </w:r>
          </w:p>
        </w:tc>
      </w:tr>
      <w:tr>
        <w:tblPrEx>
          <w:tblCellMar>
            <w:top w:w="0" w:type="dxa"/>
            <w:left w:w="108" w:type="dxa"/>
            <w:bottom w:w="0" w:type="dxa"/>
            <w:right w:w="108" w:type="dxa"/>
          </w:tblCellMar>
        </w:tblPrEx>
        <w:trPr>
          <w:trHeight w:val="325" w:hRule="atLeast"/>
          <w:jc w:val="center"/>
        </w:trPr>
        <w:tc>
          <w:tcPr>
            <w:tcW w:w="1905"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债券资产</w:t>
            </w:r>
          </w:p>
        </w:tc>
        <w:tc>
          <w:tcPr>
            <w:tcW w:w="373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firstLine="360" w:firstLineChars="20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纳入碳排放核算的投融资业务比例</w:t>
            </w:r>
          </w:p>
        </w:tc>
        <w:tc>
          <w:tcPr>
            <w:tcW w:w="1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left="0" w:leftChars="0" w:firstLine="0" w:firstLineChars="0"/>
              <w:jc w:val="center"/>
              <w:rPr>
                <w:rFonts w:hint="default" w:ascii="宋体" w:hAnsi="宋体" w:eastAsia="宋体" w:cs="宋体"/>
                <w:b w:val="0"/>
                <w:bCs/>
                <w:color w:val="000000" w:themeColor="text1"/>
                <w:kern w:val="0"/>
                <w:sz w:val="18"/>
                <w:szCs w:val="18"/>
                <w:lang w:val="en-US"/>
                <w14:textFill>
                  <w14:solidFill>
                    <w14:schemeClr w14:val="tx1"/>
                  </w14:solidFill>
                </w14:textFill>
              </w:rPr>
            </w:pPr>
            <w:r>
              <w:rPr>
                <w:rFonts w:hint="eastAsia" w:ascii="宋体" w:hAnsi="宋体" w:eastAsia="宋体" w:cs="宋体"/>
                <w:b w:val="0"/>
                <w:bCs/>
                <w:color w:val="000000"/>
                <w:kern w:val="0"/>
                <w:sz w:val="18"/>
                <w:szCs w:val="18"/>
                <w:lang w:val="en-US" w:eastAsia="zh-CN"/>
              </w:rPr>
              <w:t>%</w:t>
            </w:r>
          </w:p>
        </w:tc>
        <w:tc>
          <w:tcPr>
            <w:tcW w:w="13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bidi w:val="0"/>
              <w:spacing w:line="240" w:lineRule="auto"/>
              <w:ind w:left="0" w:leftChars="0"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仿宋" w:hAnsi="仿宋" w:eastAsia="仿宋" w:cs="仿宋"/>
                <w:b w:val="0"/>
                <w:bCs/>
                <w:color w:val="000000" w:themeColor="text1"/>
                <w:kern w:val="0"/>
                <w:sz w:val="24"/>
                <w:szCs w:val="24"/>
                <w:lang w:val="en-US" w:eastAsia="zh-CN"/>
                <w14:textFill>
                  <w14:solidFill>
                    <w14:schemeClr w14:val="tx1"/>
                  </w14:solidFill>
                </w14:textFill>
              </w:rPr>
              <w:t>/</w:t>
            </w:r>
          </w:p>
        </w:tc>
        <w:tc>
          <w:tcPr>
            <w:tcW w:w="147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bidi w:val="0"/>
              <w:spacing w:line="240" w:lineRule="auto"/>
              <w:ind w:left="0" w:leftChars="0"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仿宋" w:hAnsi="仿宋" w:eastAsia="仿宋" w:cs="仿宋"/>
                <w:b w:val="0"/>
                <w:bCs/>
                <w:color w:val="000000" w:themeColor="text1"/>
                <w:kern w:val="0"/>
                <w:sz w:val="24"/>
                <w:szCs w:val="24"/>
                <w:lang w:val="en-US" w:eastAsia="zh-CN"/>
                <w14:textFill>
                  <w14:solidFill>
                    <w14:schemeClr w14:val="tx1"/>
                  </w14:solidFill>
                </w14:textFill>
              </w:rPr>
              <w:t>/</w:t>
            </w:r>
          </w:p>
        </w:tc>
      </w:tr>
      <w:tr>
        <w:tblPrEx>
          <w:tblCellMar>
            <w:top w:w="0" w:type="dxa"/>
            <w:left w:w="108" w:type="dxa"/>
            <w:bottom w:w="0" w:type="dxa"/>
            <w:right w:w="108" w:type="dxa"/>
          </w:tblCellMar>
        </w:tblPrEx>
        <w:trPr>
          <w:trHeight w:val="325" w:hRule="atLeast"/>
          <w:jc w:val="center"/>
        </w:trPr>
        <w:tc>
          <w:tcPr>
            <w:tcW w:w="1905"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债券资产</w:t>
            </w:r>
          </w:p>
        </w:tc>
        <w:tc>
          <w:tcPr>
            <w:tcW w:w="373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firstLine="360" w:firstLineChars="20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纳入碳排放核算的债券投资账面价值</w:t>
            </w:r>
          </w:p>
        </w:tc>
        <w:tc>
          <w:tcPr>
            <w:tcW w:w="1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left="0" w:leftChars="0" w:firstLine="0" w:firstLineChars="0"/>
              <w:jc w:val="center"/>
              <w:rPr>
                <w:rFonts w:hint="default" w:ascii="宋体" w:hAnsi="宋体" w:eastAsia="宋体" w:cs="宋体"/>
                <w:b w:val="0"/>
                <w:bCs/>
                <w:color w:val="000000" w:themeColor="text1"/>
                <w:kern w:val="0"/>
                <w:sz w:val="18"/>
                <w:szCs w:val="18"/>
                <w:lang w:val="en-US"/>
                <w14:textFill>
                  <w14:solidFill>
                    <w14:schemeClr w14:val="tx1"/>
                  </w14:solidFill>
                </w14:textFill>
              </w:rPr>
            </w:pPr>
            <w:r>
              <w:rPr>
                <w:rFonts w:hint="eastAsia" w:ascii="宋体" w:hAnsi="宋体" w:eastAsia="宋体" w:cs="宋体"/>
                <w:b w:val="0"/>
                <w:bCs/>
                <w:color w:val="000000"/>
                <w:kern w:val="0"/>
                <w:sz w:val="18"/>
                <w:szCs w:val="18"/>
                <w:lang w:val="en-US" w:eastAsia="zh-CN"/>
              </w:rPr>
              <w:t>万元</w:t>
            </w:r>
          </w:p>
        </w:tc>
        <w:tc>
          <w:tcPr>
            <w:tcW w:w="130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left="0" w:leftChars="0"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0</w:t>
            </w:r>
          </w:p>
        </w:tc>
        <w:tc>
          <w:tcPr>
            <w:tcW w:w="147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left="0" w:leftChars="0"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0</w:t>
            </w:r>
          </w:p>
        </w:tc>
      </w:tr>
      <w:tr>
        <w:tblPrEx>
          <w:tblCellMar>
            <w:top w:w="0" w:type="dxa"/>
            <w:left w:w="108" w:type="dxa"/>
            <w:bottom w:w="0" w:type="dxa"/>
            <w:right w:w="108" w:type="dxa"/>
          </w:tblCellMar>
        </w:tblPrEx>
        <w:trPr>
          <w:trHeight w:val="325" w:hRule="atLeast"/>
          <w:jc w:val="center"/>
        </w:trPr>
        <w:tc>
          <w:tcPr>
            <w:tcW w:w="1905"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债券资产</w:t>
            </w:r>
          </w:p>
        </w:tc>
        <w:tc>
          <w:tcPr>
            <w:tcW w:w="373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firstLine="360" w:firstLineChars="20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投融资碳排放强度*</w:t>
            </w:r>
          </w:p>
        </w:tc>
        <w:tc>
          <w:tcPr>
            <w:tcW w:w="1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left="0" w:leftChars="0" w:firstLine="0" w:firstLineChars="0"/>
              <w:jc w:val="center"/>
              <w:rPr>
                <w:rFonts w:hint="default" w:ascii="宋体" w:hAnsi="宋体" w:eastAsia="宋体" w:cs="宋体"/>
                <w:b w:val="0"/>
                <w:bCs/>
                <w:color w:val="000000" w:themeColor="text1"/>
                <w:kern w:val="0"/>
                <w:sz w:val="18"/>
                <w:szCs w:val="18"/>
                <w:lang w:val="en-US"/>
                <w14:textFill>
                  <w14:solidFill>
                    <w14:schemeClr w14:val="tx1"/>
                  </w14:solidFill>
                </w14:textFill>
              </w:rPr>
            </w:pPr>
            <w:r>
              <w:rPr>
                <w:rFonts w:hint="eastAsia" w:ascii="宋体" w:hAnsi="宋体" w:eastAsia="宋体" w:cs="宋体"/>
                <w:b w:val="0"/>
                <w:bCs/>
                <w:color w:val="000000"/>
                <w:kern w:val="0"/>
                <w:sz w:val="18"/>
                <w:szCs w:val="18"/>
                <w:lang w:val="en-US" w:eastAsia="zh-CN"/>
              </w:rPr>
              <w:t>tCO2e/万元</w:t>
            </w:r>
          </w:p>
        </w:tc>
        <w:tc>
          <w:tcPr>
            <w:tcW w:w="130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left="0" w:leftChars="0"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0</w:t>
            </w:r>
          </w:p>
        </w:tc>
        <w:tc>
          <w:tcPr>
            <w:tcW w:w="147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left="0" w:leftChars="0"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0</w:t>
            </w:r>
          </w:p>
        </w:tc>
      </w:tr>
      <w:tr>
        <w:tblPrEx>
          <w:tblCellMar>
            <w:top w:w="0" w:type="dxa"/>
            <w:left w:w="108" w:type="dxa"/>
            <w:bottom w:w="0" w:type="dxa"/>
            <w:right w:w="108" w:type="dxa"/>
          </w:tblCellMar>
        </w:tblPrEx>
        <w:trPr>
          <w:trHeight w:val="325" w:hRule="atLeast"/>
          <w:jc w:val="center"/>
        </w:trPr>
        <w:tc>
          <w:tcPr>
            <w:tcW w:w="1905"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合计</w:t>
            </w:r>
          </w:p>
        </w:tc>
        <w:tc>
          <w:tcPr>
            <w:tcW w:w="373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firstLine="360" w:firstLineChars="20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投融资碳排放量</w:t>
            </w:r>
          </w:p>
        </w:tc>
        <w:tc>
          <w:tcPr>
            <w:tcW w:w="1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left="0" w:leftChars="0" w:firstLine="0" w:firstLineChars="0"/>
              <w:jc w:val="center"/>
              <w:rPr>
                <w:rFonts w:hint="default" w:ascii="宋体" w:hAnsi="宋体" w:eastAsia="宋体" w:cs="宋体"/>
                <w:b w:val="0"/>
                <w:bCs/>
                <w:color w:val="000000" w:themeColor="text1"/>
                <w:kern w:val="0"/>
                <w:sz w:val="18"/>
                <w:szCs w:val="18"/>
                <w:lang w:val="en-US"/>
                <w14:textFill>
                  <w14:solidFill>
                    <w14:schemeClr w14:val="tx1"/>
                  </w14:solidFill>
                </w14:textFill>
              </w:rPr>
            </w:pPr>
            <w:r>
              <w:rPr>
                <w:rFonts w:hint="eastAsia" w:ascii="宋体" w:hAnsi="宋体" w:eastAsia="宋体" w:cs="宋体"/>
                <w:b w:val="0"/>
                <w:bCs/>
                <w:color w:val="000000"/>
                <w:kern w:val="0"/>
                <w:sz w:val="18"/>
                <w:szCs w:val="18"/>
                <w:lang w:val="en-US" w:eastAsia="zh-CN"/>
              </w:rPr>
              <w:t>tCO2e</w:t>
            </w:r>
          </w:p>
        </w:tc>
        <w:tc>
          <w:tcPr>
            <w:tcW w:w="130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left="0" w:leftChars="0"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374159.60183</w:t>
            </w:r>
          </w:p>
        </w:tc>
        <w:tc>
          <w:tcPr>
            <w:tcW w:w="147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left="0" w:leftChars="0"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214547.13267</w:t>
            </w:r>
          </w:p>
        </w:tc>
      </w:tr>
      <w:tr>
        <w:tblPrEx>
          <w:tblCellMar>
            <w:top w:w="0" w:type="dxa"/>
            <w:left w:w="108" w:type="dxa"/>
            <w:bottom w:w="0" w:type="dxa"/>
            <w:right w:w="108" w:type="dxa"/>
          </w:tblCellMar>
        </w:tblPrEx>
        <w:trPr>
          <w:trHeight w:val="325" w:hRule="atLeast"/>
          <w:jc w:val="center"/>
        </w:trPr>
        <w:tc>
          <w:tcPr>
            <w:tcW w:w="1905"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合计</w:t>
            </w:r>
          </w:p>
        </w:tc>
        <w:tc>
          <w:tcPr>
            <w:tcW w:w="373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firstLine="360" w:firstLineChars="20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纳入碳排放核算的投融资业务比例</w:t>
            </w:r>
          </w:p>
        </w:tc>
        <w:tc>
          <w:tcPr>
            <w:tcW w:w="1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left="0" w:leftChars="0" w:firstLine="0" w:firstLineChars="0"/>
              <w:jc w:val="center"/>
              <w:rPr>
                <w:rFonts w:hint="default" w:ascii="宋体" w:hAnsi="宋体" w:eastAsia="宋体" w:cs="宋体"/>
                <w:b w:val="0"/>
                <w:bCs/>
                <w:color w:val="000000" w:themeColor="text1"/>
                <w:kern w:val="0"/>
                <w:sz w:val="18"/>
                <w:szCs w:val="18"/>
                <w:lang w:val="en-US"/>
                <w14:textFill>
                  <w14:solidFill>
                    <w14:schemeClr w14:val="tx1"/>
                  </w14:solidFill>
                </w14:textFill>
              </w:rPr>
            </w:pPr>
            <w:r>
              <w:rPr>
                <w:rFonts w:hint="eastAsia" w:ascii="宋体" w:hAnsi="宋体" w:eastAsia="宋体" w:cs="宋体"/>
                <w:b w:val="0"/>
                <w:bCs/>
                <w:color w:val="000000"/>
                <w:kern w:val="0"/>
                <w:sz w:val="18"/>
                <w:szCs w:val="18"/>
                <w:lang w:val="en-US" w:eastAsia="zh-CN"/>
              </w:rPr>
              <w:t>%</w:t>
            </w:r>
          </w:p>
        </w:tc>
        <w:tc>
          <w:tcPr>
            <w:tcW w:w="13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bidi w:val="0"/>
              <w:spacing w:line="240" w:lineRule="auto"/>
              <w:ind w:left="0" w:leftChars="0"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仿宋" w:hAnsi="仿宋" w:eastAsia="仿宋" w:cs="仿宋"/>
                <w:b w:val="0"/>
                <w:bCs/>
                <w:color w:val="000000" w:themeColor="text1"/>
                <w:kern w:val="0"/>
                <w:sz w:val="24"/>
                <w:szCs w:val="24"/>
                <w:lang w:val="en-US" w:eastAsia="zh-CN"/>
                <w14:textFill>
                  <w14:solidFill>
                    <w14:schemeClr w14:val="tx1"/>
                  </w14:solidFill>
                </w14:textFill>
              </w:rPr>
              <w:t>/</w:t>
            </w:r>
          </w:p>
        </w:tc>
        <w:tc>
          <w:tcPr>
            <w:tcW w:w="147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bidi w:val="0"/>
              <w:spacing w:line="240" w:lineRule="auto"/>
              <w:ind w:left="0" w:leftChars="0"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仿宋" w:hAnsi="仿宋" w:eastAsia="仿宋" w:cs="仿宋"/>
                <w:b w:val="0"/>
                <w:bCs/>
                <w:color w:val="000000" w:themeColor="text1"/>
                <w:kern w:val="0"/>
                <w:sz w:val="24"/>
                <w:szCs w:val="24"/>
                <w:lang w:val="en-US" w:eastAsia="zh-CN"/>
                <w14:textFill>
                  <w14:solidFill>
                    <w14:schemeClr w14:val="tx1"/>
                  </w14:solidFill>
                </w14:textFill>
              </w:rPr>
              <w:t>/</w:t>
            </w:r>
          </w:p>
        </w:tc>
      </w:tr>
      <w:tr>
        <w:tblPrEx>
          <w:tblCellMar>
            <w:top w:w="0" w:type="dxa"/>
            <w:left w:w="108" w:type="dxa"/>
            <w:bottom w:w="0" w:type="dxa"/>
            <w:right w:w="108" w:type="dxa"/>
          </w:tblCellMar>
        </w:tblPrEx>
        <w:trPr>
          <w:trHeight w:val="325" w:hRule="atLeast"/>
          <w:jc w:val="center"/>
        </w:trPr>
        <w:tc>
          <w:tcPr>
            <w:tcW w:w="1905"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合计</w:t>
            </w:r>
          </w:p>
        </w:tc>
        <w:tc>
          <w:tcPr>
            <w:tcW w:w="373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firstLine="360" w:firstLineChars="20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纳入碳排放核算的贷款月均融资余额及债券投资账面价值总和</w:t>
            </w:r>
          </w:p>
        </w:tc>
        <w:tc>
          <w:tcPr>
            <w:tcW w:w="1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left="0" w:leftChars="0" w:firstLine="0" w:firstLineChars="0"/>
              <w:jc w:val="center"/>
              <w:rPr>
                <w:rFonts w:hint="default" w:ascii="宋体" w:hAnsi="宋体" w:eastAsia="宋体" w:cs="宋体"/>
                <w:b w:val="0"/>
                <w:bCs/>
                <w:color w:val="000000" w:themeColor="text1"/>
                <w:kern w:val="0"/>
                <w:sz w:val="18"/>
                <w:szCs w:val="18"/>
                <w:lang w:val="en-US"/>
                <w14:textFill>
                  <w14:solidFill>
                    <w14:schemeClr w14:val="tx1"/>
                  </w14:solidFill>
                </w14:textFill>
              </w:rPr>
            </w:pPr>
            <w:r>
              <w:rPr>
                <w:rFonts w:hint="eastAsia" w:ascii="宋体" w:hAnsi="宋体" w:eastAsia="宋体" w:cs="宋体"/>
                <w:b w:val="0"/>
                <w:bCs/>
                <w:color w:val="000000"/>
                <w:kern w:val="0"/>
                <w:sz w:val="18"/>
                <w:szCs w:val="18"/>
                <w:lang w:val="en-US" w:eastAsia="zh-CN"/>
              </w:rPr>
              <w:t>万元</w:t>
            </w:r>
          </w:p>
        </w:tc>
        <w:tc>
          <w:tcPr>
            <w:tcW w:w="130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left="0" w:leftChars="0"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14667747.94</w:t>
            </w:r>
          </w:p>
        </w:tc>
        <w:tc>
          <w:tcPr>
            <w:tcW w:w="147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left="0" w:leftChars="0"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10422618.41462</w:t>
            </w:r>
          </w:p>
        </w:tc>
      </w:tr>
      <w:tr>
        <w:tblPrEx>
          <w:tblCellMar>
            <w:top w:w="0" w:type="dxa"/>
            <w:left w:w="108" w:type="dxa"/>
            <w:bottom w:w="0" w:type="dxa"/>
            <w:right w:w="108" w:type="dxa"/>
          </w:tblCellMar>
        </w:tblPrEx>
        <w:trPr>
          <w:trHeight w:val="325" w:hRule="atLeast"/>
          <w:jc w:val="center"/>
        </w:trPr>
        <w:tc>
          <w:tcPr>
            <w:tcW w:w="1905"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合计</w:t>
            </w:r>
          </w:p>
        </w:tc>
        <w:tc>
          <w:tcPr>
            <w:tcW w:w="373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firstLine="360" w:firstLineChars="20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投融资碳排放强度*</w:t>
            </w:r>
          </w:p>
        </w:tc>
        <w:tc>
          <w:tcPr>
            <w:tcW w:w="1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left="0" w:leftChars="0" w:firstLine="0" w:firstLineChars="0"/>
              <w:jc w:val="center"/>
              <w:rPr>
                <w:rFonts w:hint="default" w:ascii="宋体" w:hAnsi="宋体" w:eastAsia="宋体" w:cs="宋体"/>
                <w:b w:val="0"/>
                <w:bCs/>
                <w:color w:val="000000" w:themeColor="text1"/>
                <w:kern w:val="0"/>
                <w:sz w:val="18"/>
                <w:szCs w:val="18"/>
                <w:lang w:val="en-US"/>
                <w14:textFill>
                  <w14:solidFill>
                    <w14:schemeClr w14:val="tx1"/>
                  </w14:solidFill>
                </w14:textFill>
              </w:rPr>
            </w:pPr>
            <w:r>
              <w:rPr>
                <w:rFonts w:hint="eastAsia" w:ascii="宋体" w:hAnsi="宋体" w:eastAsia="宋体" w:cs="宋体"/>
                <w:b w:val="0"/>
                <w:bCs/>
                <w:color w:val="000000"/>
                <w:kern w:val="0"/>
                <w:sz w:val="18"/>
                <w:szCs w:val="18"/>
                <w:lang w:val="en-US" w:eastAsia="zh-CN"/>
              </w:rPr>
              <w:t>tCO2e/万元</w:t>
            </w:r>
          </w:p>
        </w:tc>
        <w:tc>
          <w:tcPr>
            <w:tcW w:w="130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left="0" w:leftChars="0"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0.02551</w:t>
            </w:r>
          </w:p>
        </w:tc>
        <w:tc>
          <w:tcPr>
            <w:tcW w:w="147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left="0" w:leftChars="0"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0.02058</w:t>
            </w:r>
          </w:p>
        </w:tc>
      </w:tr>
    </w:tbl>
    <w:p>
      <w:pPr>
        <w:pStyle w:val="2"/>
        <w:keepNext w:val="0"/>
        <w:keepLines w:val="0"/>
        <w:pageBreakBefore w:val="0"/>
        <w:widowControl w:val="0"/>
        <w:kinsoku/>
        <w:wordWrap/>
        <w:overflowPunct/>
        <w:topLinePunct w:val="0"/>
        <w:autoSpaceDE/>
        <w:autoSpaceDN/>
        <w:bidi w:val="0"/>
        <w:adjustRightInd/>
        <w:snapToGrid/>
        <w:spacing w:after="0" w:line="240" w:lineRule="auto"/>
        <w:textAlignment w:val="auto"/>
        <w:rPr>
          <w:rFonts w:hint="eastAsia" w:ascii="仿宋" w:hAnsi="仿宋" w:eastAsia="仿宋" w:cs="仿宋"/>
          <w:b w:val="0"/>
          <w:bCs/>
          <w:snapToGrid w:val="0"/>
          <w:color w:val="auto"/>
          <w:spacing w:val="6"/>
          <w:kern w:val="0"/>
          <w:sz w:val="18"/>
          <w:szCs w:val="18"/>
          <w:lang w:val="en-US" w:eastAsia="zh-CN" w:bidi="ar-SA"/>
        </w:rPr>
      </w:pPr>
      <w:bookmarkStart w:id="33" w:name="_Toc29454"/>
    </w:p>
    <w:p>
      <w:pPr>
        <w:keepNext w:val="0"/>
        <w:keepLines w:val="0"/>
        <w:pageBreakBefore w:val="0"/>
        <w:widowControl/>
        <w:numPr>
          <w:ilvl w:val="0"/>
          <w:numId w:val="0"/>
        </w:numPr>
        <w:kinsoku/>
        <w:wordWrap/>
        <w:overflowPunct/>
        <w:topLinePunct w:val="0"/>
        <w:autoSpaceDE w:val="0"/>
        <w:autoSpaceDN w:val="0"/>
        <w:bidi w:val="0"/>
        <w:adjustRightInd w:val="0"/>
        <w:snapToGrid w:val="0"/>
        <w:spacing w:before="149" w:beforeLines="50" w:line="240" w:lineRule="auto"/>
        <w:ind w:left="0" w:leftChars="0" w:firstLine="0" w:firstLineChars="0"/>
        <w:textAlignment w:val="baseline"/>
        <w:outlineLvl w:val="0"/>
        <w:rPr>
          <w:rFonts w:hint="eastAsia" w:ascii="微软雅黑" w:hAnsi="微软雅黑" w:eastAsia="微软雅黑" w:cs="微软雅黑"/>
          <w:b w:val="0"/>
          <w:bCs/>
          <w:color w:val="000000" w:themeColor="text1"/>
          <w:kern w:val="2"/>
          <w:sz w:val="28"/>
          <w:szCs w:val="28"/>
          <w:lang w:val="en-US" w:eastAsia="zh-CN" w:bidi="ar-SA"/>
          <w14:textFill>
            <w14:solidFill>
              <w14:schemeClr w14:val="tx1"/>
            </w14:solidFill>
          </w14:textFill>
        </w:rPr>
      </w:pPr>
      <w:r>
        <w:rPr>
          <w:rFonts w:hint="eastAsia" w:ascii="微软雅黑" w:hAnsi="微软雅黑" w:eastAsia="微软雅黑" w:cs="微软雅黑"/>
          <w:b w:val="0"/>
          <w:bCs/>
          <w:color w:val="000000" w:themeColor="text1"/>
          <w:kern w:val="2"/>
          <w:sz w:val="28"/>
          <w:szCs w:val="28"/>
          <w:lang w:val="en-US" w:eastAsia="zh-CN" w:bidi="ar-SA"/>
          <w14:textFill>
            <w14:solidFill>
              <w14:schemeClr w14:val="tx1"/>
            </w14:solidFill>
          </w14:textFill>
        </w:rPr>
        <w:t>7.4 高碳行业</w:t>
      </w:r>
      <w:bookmarkEnd w:id="33"/>
    </w:p>
    <w:p>
      <w:pPr>
        <w:pageBreakBefore w:val="0"/>
        <w:widowControl/>
        <w:kinsoku w:val="0"/>
        <w:wordWrap/>
        <w:topLinePunct w:val="0"/>
        <w:autoSpaceDE w:val="0"/>
        <w:autoSpaceDN w:val="0"/>
        <w:bidi w:val="0"/>
        <w:adjustRightInd w:val="0"/>
        <w:snapToGrid w:val="0"/>
        <w:spacing w:before="149" w:beforeLines="50" w:line="240" w:lineRule="auto"/>
        <w:ind w:firstLine="504" w:firstLineChars="200"/>
        <w:textAlignment w:val="baseline"/>
        <w:rPr>
          <w:rFonts w:hint="eastAsia" w:ascii="仿宋" w:hAnsi="仿宋" w:eastAsia="仿宋" w:cs="仿宋"/>
          <w:b w:val="0"/>
          <w:bCs/>
          <w:snapToGrid w:val="0"/>
          <w:color w:val="000000" w:themeColor="text1"/>
          <w:spacing w:val="6"/>
          <w:kern w:val="0"/>
          <w:sz w:val="24"/>
          <w:szCs w:val="24"/>
          <w:lang w:val="en-US" w:eastAsia="zh-CN"/>
          <w14:textFill>
            <w14:solidFill>
              <w14:schemeClr w14:val="tx1"/>
            </w14:solidFill>
          </w14:textFill>
        </w:rPr>
      </w:pPr>
      <w:r>
        <w:rPr>
          <w:rFonts w:hint="eastAsia" w:ascii="仿宋" w:hAnsi="仿宋" w:eastAsia="仿宋" w:cs="仿宋"/>
          <w:b w:val="0"/>
          <w:bCs/>
          <w:snapToGrid w:val="0"/>
          <w:color w:val="000000" w:themeColor="text1"/>
          <w:spacing w:val="6"/>
          <w:kern w:val="0"/>
          <w:sz w:val="24"/>
          <w:szCs w:val="24"/>
          <w14:textFill>
            <w14:solidFill>
              <w14:schemeClr w14:val="tx1"/>
            </w14:solidFill>
          </w14:textFill>
        </w:rPr>
        <w:t>报告年度内本行实际核算的八大高碳行业投融资碳排放合计为</w:t>
      </w:r>
      <w:r>
        <w:rPr>
          <w:rFonts w:hint="eastAsia" w:ascii="仿宋" w:hAnsi="仿宋" w:eastAsia="仿宋" w:cs="仿宋"/>
          <w:b w:val="0"/>
          <w:bCs/>
          <w:snapToGrid w:val="0"/>
          <w:color w:val="000000" w:themeColor="text1"/>
          <w:spacing w:val="6"/>
          <w:kern w:val="0"/>
          <w:sz w:val="24"/>
          <w:szCs w:val="24"/>
          <w:u w:val="single"/>
          <w:lang w:val="en-US" w:eastAsia="zh-CN"/>
          <w14:textFill>
            <w14:solidFill>
              <w14:schemeClr w14:val="tx1"/>
            </w14:solidFill>
          </w14:textFill>
        </w:rPr>
        <w:t xml:space="preserve"> </w:t>
      </w:r>
      <w:r>
        <w:rPr>
          <w:rFonts w:ascii="仿宋" w:hAnsi="仿宋" w:eastAsia="仿宋" w:cs="仿宋"/>
          <w:color w:val="000000"/>
          <w:spacing w:val="6"/>
          <w:sz w:val="24"/>
          <w:u w:val="single" w:color="auto"/>
        </w:rPr>
        <w:t>1885.9</w:t>
      </w:r>
      <w:r>
        <w:rPr>
          <w:rFonts w:hint="eastAsia" w:ascii="仿宋" w:hAnsi="仿宋" w:eastAsia="仿宋" w:cs="仿宋"/>
          <w:color w:val="000000"/>
          <w:spacing w:val="6"/>
          <w:sz w:val="24"/>
          <w:u w:val="single" w:color="auto"/>
          <w:lang w:val="en-US" w:eastAsia="zh-CN"/>
        </w:rPr>
        <w:t>1</w:t>
      </w:r>
      <w:r>
        <w:rPr>
          <w:rFonts w:ascii="仿宋" w:hAnsi="仿宋" w:eastAsia="仿宋" w:cs="仿宋"/>
          <w:color w:val="000000"/>
          <w:spacing w:val="6"/>
          <w:sz w:val="24"/>
          <w:u w:val="single" w:color="auto"/>
        </w:rPr>
        <w:t xml:space="preserve"> </w:t>
      </w:r>
      <w:r>
        <w:rPr>
          <w:rFonts w:hint="eastAsia" w:ascii="仿宋" w:hAnsi="仿宋" w:eastAsia="仿宋" w:cs="仿宋"/>
          <w:b w:val="0"/>
          <w:bCs/>
          <w:snapToGrid w:val="0"/>
          <w:color w:val="000000" w:themeColor="text1"/>
          <w:spacing w:val="6"/>
          <w:kern w:val="0"/>
          <w:sz w:val="24"/>
          <w:szCs w:val="24"/>
          <w14:textFill>
            <w14:solidFill>
              <w14:schemeClr w14:val="tx1"/>
            </w14:solidFill>
          </w14:textFill>
        </w:rPr>
        <w:t>tCO</w:t>
      </w:r>
      <w:r>
        <w:rPr>
          <w:rFonts w:hint="eastAsia" w:ascii="仿宋" w:hAnsi="仿宋" w:eastAsia="仿宋" w:cs="仿宋"/>
          <w:b w:val="0"/>
          <w:bCs/>
          <w:snapToGrid w:val="0"/>
          <w:color w:val="000000" w:themeColor="text1"/>
          <w:spacing w:val="6"/>
          <w:kern w:val="0"/>
          <w:sz w:val="24"/>
          <w:szCs w:val="24"/>
          <w:vertAlign w:val="subscript"/>
          <w14:textFill>
            <w14:solidFill>
              <w14:schemeClr w14:val="tx1"/>
            </w14:solidFill>
          </w14:textFill>
        </w:rPr>
        <w:t>2</w:t>
      </w:r>
      <w:r>
        <w:rPr>
          <w:rFonts w:hint="eastAsia" w:ascii="仿宋" w:hAnsi="仿宋" w:eastAsia="仿宋" w:cs="仿宋"/>
          <w:b w:val="0"/>
          <w:bCs/>
          <w:snapToGrid w:val="0"/>
          <w:color w:val="000000" w:themeColor="text1"/>
          <w:spacing w:val="6"/>
          <w:kern w:val="0"/>
          <w:sz w:val="24"/>
          <w:szCs w:val="24"/>
          <w14:textFill>
            <w14:solidFill>
              <w14:schemeClr w14:val="tx1"/>
            </w14:solidFill>
          </w14:textFill>
        </w:rPr>
        <w:t>e。其中，</w:t>
      </w:r>
      <w:r>
        <w:rPr>
          <w:rFonts w:hint="eastAsia"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电力</w:t>
      </w:r>
      <w:r>
        <w:rPr>
          <w:rFonts w:hint="eastAsia" w:ascii="仿宋" w:hAnsi="仿宋" w:eastAsia="仿宋" w:cs="仿宋"/>
          <w:b w:val="0"/>
          <w:bCs/>
          <w:snapToGrid w:val="0"/>
          <w:color w:val="000000" w:themeColor="text1"/>
          <w:spacing w:val="6"/>
          <w:kern w:val="0"/>
          <w:sz w:val="24"/>
          <w:szCs w:val="24"/>
          <w14:textFill>
            <w14:solidFill>
              <w14:schemeClr w14:val="tx1"/>
            </w14:solidFill>
          </w14:textFill>
        </w:rPr>
        <w:t>行业产生的碳排放</w:t>
      </w:r>
      <w:r>
        <w:rPr>
          <w:rFonts w:hint="eastAsia" w:ascii="仿宋" w:hAnsi="仿宋" w:eastAsia="仿宋" w:cs="仿宋"/>
          <w:b w:val="0"/>
          <w:bCs/>
          <w:snapToGrid w:val="0"/>
          <w:color w:val="000000" w:themeColor="text1"/>
          <w:spacing w:val="6"/>
          <w:kern w:val="0"/>
          <w:sz w:val="24"/>
          <w:szCs w:val="24"/>
          <w:u w:val="single"/>
          <w:lang w:val="en-US" w:eastAsia="zh-CN"/>
          <w14:textFill>
            <w14:solidFill>
              <w14:schemeClr w14:val="tx1"/>
            </w14:solidFill>
          </w14:textFill>
        </w:rPr>
        <w:t xml:space="preserve"> </w:t>
      </w:r>
      <w:r>
        <w:rPr>
          <w:rFonts w:ascii="仿宋" w:hAnsi="仿宋" w:eastAsia="仿宋" w:cs="仿宋"/>
          <w:color w:val="000000"/>
          <w:spacing w:val="6"/>
          <w:sz w:val="24"/>
          <w:u w:val="single" w:color="auto"/>
        </w:rPr>
        <w:t>14.5</w:t>
      </w:r>
      <w:r>
        <w:rPr>
          <w:rFonts w:hint="eastAsia" w:ascii="仿宋" w:hAnsi="仿宋" w:eastAsia="仿宋" w:cs="仿宋"/>
          <w:color w:val="000000"/>
          <w:spacing w:val="6"/>
          <w:sz w:val="24"/>
          <w:u w:val="single" w:color="auto"/>
          <w:lang w:val="en-US" w:eastAsia="zh-CN"/>
        </w:rPr>
        <w:t>5</w:t>
      </w:r>
      <w:r>
        <w:rPr>
          <w:rFonts w:ascii="仿宋" w:hAnsi="仿宋" w:eastAsia="仿宋" w:cs="仿宋"/>
          <w:color w:val="000000"/>
          <w:spacing w:val="6"/>
          <w:sz w:val="24"/>
          <w:u w:val="single" w:color="auto"/>
        </w:rPr>
        <w:t xml:space="preserve"> </w:t>
      </w:r>
      <w:r>
        <w:rPr>
          <w:rFonts w:hint="eastAsia" w:ascii="仿宋" w:hAnsi="仿宋" w:eastAsia="仿宋" w:cs="仿宋"/>
          <w:b w:val="0"/>
          <w:bCs/>
          <w:snapToGrid w:val="0"/>
          <w:color w:val="000000" w:themeColor="text1"/>
          <w:spacing w:val="6"/>
          <w:kern w:val="0"/>
          <w:sz w:val="24"/>
          <w:szCs w:val="24"/>
          <w14:textFill>
            <w14:solidFill>
              <w14:schemeClr w14:val="tx1"/>
            </w14:solidFill>
          </w14:textFill>
        </w:rPr>
        <w:t>tCO</w:t>
      </w:r>
      <w:r>
        <w:rPr>
          <w:rFonts w:hint="eastAsia" w:ascii="仿宋" w:hAnsi="仿宋" w:eastAsia="仿宋" w:cs="仿宋"/>
          <w:b w:val="0"/>
          <w:bCs/>
          <w:snapToGrid w:val="0"/>
          <w:color w:val="000000" w:themeColor="text1"/>
          <w:spacing w:val="6"/>
          <w:kern w:val="0"/>
          <w:sz w:val="24"/>
          <w:szCs w:val="24"/>
          <w:vertAlign w:val="subscript"/>
          <w14:textFill>
            <w14:solidFill>
              <w14:schemeClr w14:val="tx1"/>
            </w14:solidFill>
          </w14:textFill>
        </w:rPr>
        <w:t>2</w:t>
      </w:r>
      <w:r>
        <w:rPr>
          <w:rFonts w:hint="eastAsia" w:ascii="仿宋" w:hAnsi="仿宋" w:eastAsia="仿宋" w:cs="仿宋"/>
          <w:b w:val="0"/>
          <w:bCs/>
          <w:snapToGrid w:val="0"/>
          <w:color w:val="000000" w:themeColor="text1"/>
          <w:spacing w:val="6"/>
          <w:kern w:val="0"/>
          <w:sz w:val="24"/>
          <w:szCs w:val="24"/>
          <w14:textFill>
            <w14:solidFill>
              <w14:schemeClr w14:val="tx1"/>
            </w14:solidFill>
          </w14:textFill>
        </w:rPr>
        <w:t>e，钢铁行业产生的碳排放</w:t>
      </w:r>
      <w:r>
        <w:rPr>
          <w:rFonts w:hint="eastAsia" w:ascii="仿宋" w:hAnsi="仿宋" w:eastAsia="仿宋" w:cs="仿宋"/>
          <w:b w:val="0"/>
          <w:bCs/>
          <w:snapToGrid w:val="0"/>
          <w:color w:val="000000" w:themeColor="text1"/>
          <w:spacing w:val="6"/>
          <w:kern w:val="0"/>
          <w:sz w:val="24"/>
          <w:szCs w:val="24"/>
          <w:u w:val="single"/>
          <w:lang w:val="en-US" w:eastAsia="zh-CN"/>
          <w14:textFill>
            <w14:solidFill>
              <w14:schemeClr w14:val="tx1"/>
            </w14:solidFill>
          </w14:textFill>
        </w:rPr>
        <w:t xml:space="preserve"> </w:t>
      </w:r>
      <w:r>
        <w:rPr>
          <w:rFonts w:ascii="仿宋" w:hAnsi="仿宋" w:eastAsia="仿宋" w:cs="仿宋"/>
          <w:color w:val="000000"/>
          <w:spacing w:val="6"/>
          <w:sz w:val="24"/>
          <w:u w:val="single" w:color="auto"/>
        </w:rPr>
        <w:t xml:space="preserve">480 </w:t>
      </w:r>
      <w:r>
        <w:rPr>
          <w:rFonts w:hint="eastAsia" w:ascii="仿宋" w:hAnsi="仿宋" w:eastAsia="仿宋" w:cs="仿宋"/>
          <w:b w:val="0"/>
          <w:bCs/>
          <w:snapToGrid w:val="0"/>
          <w:color w:val="000000" w:themeColor="text1"/>
          <w:spacing w:val="6"/>
          <w:kern w:val="0"/>
          <w:sz w:val="24"/>
          <w:szCs w:val="24"/>
          <w14:textFill>
            <w14:solidFill>
              <w14:schemeClr w14:val="tx1"/>
            </w14:solidFill>
          </w14:textFill>
        </w:rPr>
        <w:t>tCO</w:t>
      </w:r>
      <w:r>
        <w:rPr>
          <w:rFonts w:hint="eastAsia" w:ascii="仿宋" w:hAnsi="仿宋" w:eastAsia="仿宋" w:cs="仿宋"/>
          <w:b w:val="0"/>
          <w:bCs/>
          <w:snapToGrid w:val="0"/>
          <w:color w:val="000000" w:themeColor="text1"/>
          <w:spacing w:val="6"/>
          <w:kern w:val="0"/>
          <w:sz w:val="24"/>
          <w:szCs w:val="24"/>
          <w:vertAlign w:val="subscript"/>
          <w14:textFill>
            <w14:solidFill>
              <w14:schemeClr w14:val="tx1"/>
            </w14:solidFill>
          </w14:textFill>
        </w:rPr>
        <w:t>2</w:t>
      </w:r>
      <w:r>
        <w:rPr>
          <w:rFonts w:hint="eastAsia" w:ascii="仿宋" w:hAnsi="仿宋" w:eastAsia="仿宋" w:cs="仿宋"/>
          <w:b w:val="0"/>
          <w:bCs/>
          <w:snapToGrid w:val="0"/>
          <w:color w:val="000000" w:themeColor="text1"/>
          <w:spacing w:val="6"/>
          <w:kern w:val="0"/>
          <w:sz w:val="24"/>
          <w:szCs w:val="24"/>
          <w14:textFill>
            <w14:solidFill>
              <w14:schemeClr w14:val="tx1"/>
            </w14:solidFill>
          </w14:textFill>
        </w:rPr>
        <w:t>e，建材行业产生的碳排放</w:t>
      </w:r>
      <w:r>
        <w:rPr>
          <w:rFonts w:hint="eastAsia" w:ascii="仿宋" w:hAnsi="仿宋" w:eastAsia="仿宋" w:cs="仿宋"/>
          <w:b w:val="0"/>
          <w:bCs/>
          <w:snapToGrid w:val="0"/>
          <w:color w:val="000000" w:themeColor="text1"/>
          <w:spacing w:val="6"/>
          <w:kern w:val="0"/>
          <w:sz w:val="24"/>
          <w:szCs w:val="24"/>
          <w:u w:val="single"/>
          <w:lang w:val="en-US" w:eastAsia="zh-CN"/>
          <w14:textFill>
            <w14:solidFill>
              <w14:schemeClr w14:val="tx1"/>
            </w14:solidFill>
          </w14:textFill>
        </w:rPr>
        <w:t xml:space="preserve"> </w:t>
      </w:r>
      <w:r>
        <w:rPr>
          <w:rFonts w:ascii="仿宋" w:hAnsi="仿宋" w:eastAsia="仿宋" w:cs="仿宋"/>
          <w:color w:val="000000"/>
          <w:spacing w:val="6"/>
          <w:sz w:val="24"/>
          <w:u w:val="single" w:color="auto"/>
        </w:rPr>
        <w:t xml:space="preserve">0 </w:t>
      </w:r>
      <w:r>
        <w:rPr>
          <w:rFonts w:hint="eastAsia" w:ascii="仿宋" w:hAnsi="仿宋" w:eastAsia="仿宋" w:cs="仿宋"/>
          <w:b w:val="0"/>
          <w:bCs/>
          <w:snapToGrid w:val="0"/>
          <w:color w:val="000000" w:themeColor="text1"/>
          <w:spacing w:val="6"/>
          <w:kern w:val="0"/>
          <w:sz w:val="24"/>
          <w:szCs w:val="24"/>
          <w14:textFill>
            <w14:solidFill>
              <w14:schemeClr w14:val="tx1"/>
            </w14:solidFill>
          </w14:textFill>
        </w:rPr>
        <w:t>tCO</w:t>
      </w:r>
      <w:r>
        <w:rPr>
          <w:rFonts w:hint="eastAsia" w:ascii="仿宋" w:hAnsi="仿宋" w:eastAsia="仿宋" w:cs="仿宋"/>
          <w:b w:val="0"/>
          <w:bCs/>
          <w:snapToGrid w:val="0"/>
          <w:color w:val="000000" w:themeColor="text1"/>
          <w:spacing w:val="6"/>
          <w:kern w:val="0"/>
          <w:sz w:val="24"/>
          <w:szCs w:val="24"/>
          <w:vertAlign w:val="subscript"/>
          <w14:textFill>
            <w14:solidFill>
              <w14:schemeClr w14:val="tx1"/>
            </w14:solidFill>
          </w14:textFill>
        </w:rPr>
        <w:t>2</w:t>
      </w:r>
      <w:r>
        <w:rPr>
          <w:rFonts w:hint="eastAsia" w:ascii="仿宋" w:hAnsi="仿宋" w:eastAsia="仿宋" w:cs="仿宋"/>
          <w:b w:val="0"/>
          <w:bCs/>
          <w:snapToGrid w:val="0"/>
          <w:color w:val="000000" w:themeColor="text1"/>
          <w:spacing w:val="6"/>
          <w:kern w:val="0"/>
          <w:sz w:val="24"/>
          <w:szCs w:val="24"/>
          <w14:textFill>
            <w14:solidFill>
              <w14:schemeClr w14:val="tx1"/>
            </w14:solidFill>
          </w14:textFill>
        </w:rPr>
        <w:t>e，石化行业产生的碳排放</w:t>
      </w:r>
      <w:r>
        <w:rPr>
          <w:rFonts w:hint="eastAsia" w:ascii="仿宋" w:hAnsi="仿宋" w:eastAsia="仿宋" w:cs="仿宋"/>
          <w:b w:val="0"/>
          <w:bCs/>
          <w:snapToGrid w:val="0"/>
          <w:color w:val="000000" w:themeColor="text1"/>
          <w:spacing w:val="6"/>
          <w:kern w:val="0"/>
          <w:sz w:val="24"/>
          <w:szCs w:val="24"/>
          <w:u w:val="single"/>
          <w:lang w:val="en-US" w:eastAsia="zh-CN"/>
          <w14:textFill>
            <w14:solidFill>
              <w14:schemeClr w14:val="tx1"/>
            </w14:solidFill>
          </w14:textFill>
        </w:rPr>
        <w:t>32</w:t>
      </w:r>
      <w:r>
        <w:rPr>
          <w:rFonts w:ascii="仿宋" w:hAnsi="仿宋" w:eastAsia="仿宋" w:cs="仿宋"/>
          <w:color w:val="000000"/>
          <w:spacing w:val="6"/>
          <w:sz w:val="24"/>
          <w:u w:val="single" w:color="auto"/>
        </w:rPr>
        <w:t xml:space="preserve"> </w:t>
      </w:r>
      <w:r>
        <w:rPr>
          <w:rFonts w:hint="eastAsia" w:ascii="仿宋" w:hAnsi="仿宋" w:eastAsia="仿宋" w:cs="仿宋"/>
          <w:b w:val="0"/>
          <w:bCs/>
          <w:snapToGrid w:val="0"/>
          <w:color w:val="000000" w:themeColor="text1"/>
          <w:spacing w:val="6"/>
          <w:kern w:val="0"/>
          <w:sz w:val="24"/>
          <w:szCs w:val="24"/>
          <w14:textFill>
            <w14:solidFill>
              <w14:schemeClr w14:val="tx1"/>
            </w14:solidFill>
          </w14:textFill>
        </w:rPr>
        <w:t>tCO</w:t>
      </w:r>
      <w:r>
        <w:rPr>
          <w:rFonts w:hint="eastAsia" w:ascii="仿宋" w:hAnsi="仿宋" w:eastAsia="仿宋" w:cs="仿宋"/>
          <w:b w:val="0"/>
          <w:bCs/>
          <w:snapToGrid w:val="0"/>
          <w:color w:val="000000" w:themeColor="text1"/>
          <w:spacing w:val="6"/>
          <w:kern w:val="0"/>
          <w:sz w:val="24"/>
          <w:szCs w:val="24"/>
          <w:vertAlign w:val="subscript"/>
          <w14:textFill>
            <w14:solidFill>
              <w14:schemeClr w14:val="tx1"/>
            </w14:solidFill>
          </w14:textFill>
        </w:rPr>
        <w:t>2</w:t>
      </w:r>
      <w:r>
        <w:rPr>
          <w:rFonts w:hint="eastAsia" w:ascii="仿宋" w:hAnsi="仿宋" w:eastAsia="仿宋" w:cs="仿宋"/>
          <w:b w:val="0"/>
          <w:bCs/>
          <w:snapToGrid w:val="0"/>
          <w:color w:val="000000" w:themeColor="text1"/>
          <w:spacing w:val="6"/>
          <w:kern w:val="0"/>
          <w:sz w:val="24"/>
          <w:szCs w:val="24"/>
          <w14:textFill>
            <w14:solidFill>
              <w14:schemeClr w14:val="tx1"/>
            </w14:solidFill>
          </w14:textFill>
        </w:rPr>
        <w:t>e，化工行业产生的碳排放</w:t>
      </w:r>
      <w:r>
        <w:rPr>
          <w:rFonts w:hint="eastAsia" w:ascii="仿宋" w:hAnsi="仿宋" w:eastAsia="仿宋" w:cs="仿宋"/>
          <w:b w:val="0"/>
          <w:bCs/>
          <w:snapToGrid w:val="0"/>
          <w:color w:val="000000" w:themeColor="text1"/>
          <w:spacing w:val="6"/>
          <w:kern w:val="0"/>
          <w:sz w:val="24"/>
          <w:szCs w:val="24"/>
          <w:u w:val="single"/>
          <w:lang w:val="en-US" w:eastAsia="zh-CN"/>
          <w14:textFill>
            <w14:solidFill>
              <w14:schemeClr w14:val="tx1"/>
            </w14:solidFill>
          </w14:textFill>
        </w:rPr>
        <w:t xml:space="preserve"> </w:t>
      </w:r>
      <w:r>
        <w:rPr>
          <w:rFonts w:ascii="仿宋" w:hAnsi="仿宋" w:eastAsia="仿宋" w:cs="仿宋"/>
          <w:color w:val="000000"/>
          <w:spacing w:val="6"/>
          <w:sz w:val="24"/>
          <w:u w:val="single" w:color="auto"/>
        </w:rPr>
        <w:t xml:space="preserve">1359.36 </w:t>
      </w:r>
      <w:r>
        <w:rPr>
          <w:rFonts w:hint="eastAsia" w:ascii="仿宋" w:hAnsi="仿宋" w:eastAsia="仿宋" w:cs="仿宋"/>
          <w:b w:val="0"/>
          <w:bCs/>
          <w:snapToGrid w:val="0"/>
          <w:color w:val="000000" w:themeColor="text1"/>
          <w:spacing w:val="6"/>
          <w:kern w:val="0"/>
          <w:sz w:val="24"/>
          <w:szCs w:val="24"/>
          <w14:textFill>
            <w14:solidFill>
              <w14:schemeClr w14:val="tx1"/>
            </w14:solidFill>
          </w14:textFill>
        </w:rPr>
        <w:t>tCO</w:t>
      </w:r>
      <w:r>
        <w:rPr>
          <w:rFonts w:hint="eastAsia" w:ascii="仿宋" w:hAnsi="仿宋" w:eastAsia="仿宋" w:cs="仿宋"/>
          <w:b w:val="0"/>
          <w:bCs/>
          <w:snapToGrid w:val="0"/>
          <w:color w:val="000000" w:themeColor="text1"/>
          <w:spacing w:val="6"/>
          <w:kern w:val="0"/>
          <w:sz w:val="24"/>
          <w:szCs w:val="24"/>
          <w:vertAlign w:val="subscript"/>
          <w14:textFill>
            <w14:solidFill>
              <w14:schemeClr w14:val="tx1"/>
            </w14:solidFill>
          </w14:textFill>
        </w:rPr>
        <w:t>2</w:t>
      </w:r>
      <w:r>
        <w:rPr>
          <w:rFonts w:hint="eastAsia" w:ascii="仿宋" w:hAnsi="仿宋" w:eastAsia="仿宋" w:cs="仿宋"/>
          <w:b w:val="0"/>
          <w:bCs/>
          <w:snapToGrid w:val="0"/>
          <w:color w:val="000000" w:themeColor="text1"/>
          <w:spacing w:val="6"/>
          <w:kern w:val="0"/>
          <w:sz w:val="24"/>
          <w:szCs w:val="24"/>
          <w14:textFill>
            <w14:solidFill>
              <w14:schemeClr w14:val="tx1"/>
            </w14:solidFill>
          </w14:textFill>
        </w:rPr>
        <w:t>e，有色行业产生的碳排放</w:t>
      </w:r>
      <w:r>
        <w:rPr>
          <w:rFonts w:hint="eastAsia" w:ascii="仿宋" w:hAnsi="仿宋" w:eastAsia="仿宋" w:cs="仿宋"/>
          <w:b w:val="0"/>
          <w:bCs/>
          <w:snapToGrid w:val="0"/>
          <w:color w:val="000000" w:themeColor="text1"/>
          <w:spacing w:val="6"/>
          <w:kern w:val="0"/>
          <w:sz w:val="24"/>
          <w:szCs w:val="24"/>
          <w:u w:val="single"/>
          <w:lang w:val="en-US" w:eastAsia="zh-CN"/>
          <w14:textFill>
            <w14:solidFill>
              <w14:schemeClr w14:val="tx1"/>
            </w14:solidFill>
          </w14:textFill>
        </w:rPr>
        <w:t xml:space="preserve"> </w:t>
      </w:r>
      <w:r>
        <w:rPr>
          <w:rFonts w:ascii="仿宋" w:hAnsi="仿宋" w:eastAsia="仿宋" w:cs="仿宋"/>
          <w:color w:val="000000"/>
          <w:spacing w:val="6"/>
          <w:sz w:val="24"/>
          <w:u w:val="single" w:color="auto"/>
        </w:rPr>
        <w:t xml:space="preserve">0 </w:t>
      </w:r>
      <w:r>
        <w:rPr>
          <w:rFonts w:hint="eastAsia" w:ascii="仿宋" w:hAnsi="仿宋" w:eastAsia="仿宋" w:cs="仿宋"/>
          <w:b w:val="0"/>
          <w:bCs/>
          <w:snapToGrid w:val="0"/>
          <w:color w:val="000000" w:themeColor="text1"/>
          <w:spacing w:val="6"/>
          <w:kern w:val="0"/>
          <w:sz w:val="24"/>
          <w:szCs w:val="24"/>
          <w14:textFill>
            <w14:solidFill>
              <w14:schemeClr w14:val="tx1"/>
            </w14:solidFill>
          </w14:textFill>
        </w:rPr>
        <w:t>tCO</w:t>
      </w:r>
      <w:r>
        <w:rPr>
          <w:rFonts w:hint="eastAsia" w:ascii="仿宋" w:hAnsi="仿宋" w:eastAsia="仿宋" w:cs="仿宋"/>
          <w:b w:val="0"/>
          <w:bCs/>
          <w:snapToGrid w:val="0"/>
          <w:color w:val="000000" w:themeColor="text1"/>
          <w:spacing w:val="6"/>
          <w:kern w:val="0"/>
          <w:sz w:val="24"/>
          <w:szCs w:val="24"/>
          <w:vertAlign w:val="subscript"/>
          <w14:textFill>
            <w14:solidFill>
              <w14:schemeClr w14:val="tx1"/>
            </w14:solidFill>
          </w14:textFill>
        </w:rPr>
        <w:t>2</w:t>
      </w:r>
      <w:r>
        <w:rPr>
          <w:rFonts w:hint="eastAsia" w:ascii="仿宋" w:hAnsi="仿宋" w:eastAsia="仿宋" w:cs="仿宋"/>
          <w:b w:val="0"/>
          <w:bCs/>
          <w:snapToGrid w:val="0"/>
          <w:color w:val="000000" w:themeColor="text1"/>
          <w:spacing w:val="6"/>
          <w:kern w:val="0"/>
          <w:sz w:val="24"/>
          <w:szCs w:val="24"/>
          <w14:textFill>
            <w14:solidFill>
              <w14:schemeClr w14:val="tx1"/>
            </w14:solidFill>
          </w14:textFill>
        </w:rPr>
        <w:t>e，造纸行业产生的碳排放</w:t>
      </w:r>
      <w:r>
        <w:rPr>
          <w:rFonts w:hint="eastAsia" w:ascii="仿宋" w:hAnsi="仿宋" w:eastAsia="仿宋" w:cs="仿宋"/>
          <w:b w:val="0"/>
          <w:bCs/>
          <w:snapToGrid w:val="0"/>
          <w:color w:val="000000" w:themeColor="text1"/>
          <w:spacing w:val="6"/>
          <w:kern w:val="0"/>
          <w:sz w:val="24"/>
          <w:szCs w:val="24"/>
          <w:u w:val="single"/>
          <w:lang w:val="en-US" w:eastAsia="zh-CN"/>
          <w14:textFill>
            <w14:solidFill>
              <w14:schemeClr w14:val="tx1"/>
            </w14:solidFill>
          </w14:textFill>
        </w:rPr>
        <w:t xml:space="preserve"> </w:t>
      </w:r>
      <w:r>
        <w:rPr>
          <w:rFonts w:ascii="仿宋" w:hAnsi="仿宋" w:eastAsia="仿宋" w:cs="仿宋"/>
          <w:color w:val="000000"/>
          <w:spacing w:val="6"/>
          <w:sz w:val="24"/>
          <w:u w:val="single" w:color="auto"/>
        </w:rPr>
        <w:t xml:space="preserve">0 </w:t>
      </w:r>
      <w:r>
        <w:rPr>
          <w:rFonts w:hint="eastAsia" w:ascii="仿宋" w:hAnsi="仿宋" w:eastAsia="仿宋" w:cs="仿宋"/>
          <w:b w:val="0"/>
          <w:bCs/>
          <w:snapToGrid w:val="0"/>
          <w:color w:val="000000" w:themeColor="text1"/>
          <w:spacing w:val="6"/>
          <w:kern w:val="0"/>
          <w:sz w:val="24"/>
          <w:szCs w:val="24"/>
          <w14:textFill>
            <w14:solidFill>
              <w14:schemeClr w14:val="tx1"/>
            </w14:solidFill>
          </w14:textFill>
        </w:rPr>
        <w:t>tCO</w:t>
      </w:r>
      <w:r>
        <w:rPr>
          <w:rFonts w:hint="eastAsia" w:ascii="仿宋" w:hAnsi="仿宋" w:eastAsia="仿宋" w:cs="仿宋"/>
          <w:b w:val="0"/>
          <w:bCs/>
          <w:snapToGrid w:val="0"/>
          <w:color w:val="000000" w:themeColor="text1"/>
          <w:spacing w:val="6"/>
          <w:kern w:val="0"/>
          <w:sz w:val="24"/>
          <w:szCs w:val="24"/>
          <w:vertAlign w:val="subscript"/>
          <w14:textFill>
            <w14:solidFill>
              <w14:schemeClr w14:val="tx1"/>
            </w14:solidFill>
          </w14:textFill>
        </w:rPr>
        <w:t>2</w:t>
      </w:r>
      <w:r>
        <w:rPr>
          <w:rFonts w:hint="eastAsia" w:ascii="仿宋" w:hAnsi="仿宋" w:eastAsia="仿宋" w:cs="仿宋"/>
          <w:b w:val="0"/>
          <w:bCs/>
          <w:snapToGrid w:val="0"/>
          <w:color w:val="000000" w:themeColor="text1"/>
          <w:spacing w:val="6"/>
          <w:kern w:val="0"/>
          <w:sz w:val="24"/>
          <w:szCs w:val="24"/>
          <w14:textFill>
            <w14:solidFill>
              <w14:schemeClr w14:val="tx1"/>
            </w14:solidFill>
          </w14:textFill>
        </w:rPr>
        <w:t>e，</w:t>
      </w:r>
      <w:r>
        <w:rPr>
          <w:rFonts w:hint="eastAsia"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民航</w:t>
      </w:r>
      <w:r>
        <w:rPr>
          <w:rFonts w:hint="eastAsia" w:ascii="仿宋" w:hAnsi="仿宋" w:eastAsia="仿宋" w:cs="仿宋"/>
          <w:b w:val="0"/>
          <w:bCs/>
          <w:snapToGrid w:val="0"/>
          <w:color w:val="000000" w:themeColor="text1"/>
          <w:spacing w:val="6"/>
          <w:kern w:val="0"/>
          <w:sz w:val="24"/>
          <w:szCs w:val="24"/>
          <w14:textFill>
            <w14:solidFill>
              <w14:schemeClr w14:val="tx1"/>
            </w14:solidFill>
          </w14:textFill>
        </w:rPr>
        <w:t>行业产生的碳排放</w:t>
      </w:r>
      <w:r>
        <w:rPr>
          <w:rFonts w:hint="eastAsia" w:ascii="仿宋" w:hAnsi="仿宋" w:eastAsia="仿宋" w:cs="仿宋"/>
          <w:b w:val="0"/>
          <w:bCs/>
          <w:snapToGrid w:val="0"/>
          <w:color w:val="000000" w:themeColor="text1"/>
          <w:spacing w:val="6"/>
          <w:kern w:val="0"/>
          <w:sz w:val="24"/>
          <w:szCs w:val="24"/>
          <w:u w:val="single"/>
          <w:lang w:val="en-US" w:eastAsia="zh-CN"/>
          <w14:textFill>
            <w14:solidFill>
              <w14:schemeClr w14:val="tx1"/>
            </w14:solidFill>
          </w14:textFill>
        </w:rPr>
        <w:t xml:space="preserve"> </w:t>
      </w:r>
      <w:r>
        <w:rPr>
          <w:rFonts w:ascii="仿宋" w:hAnsi="仿宋" w:eastAsia="仿宋" w:cs="仿宋"/>
          <w:color w:val="000000"/>
          <w:spacing w:val="6"/>
          <w:sz w:val="24"/>
          <w:u w:val="single" w:color="auto"/>
        </w:rPr>
        <w:t xml:space="preserve">0 </w:t>
      </w:r>
      <w:r>
        <w:rPr>
          <w:rFonts w:hint="eastAsia" w:ascii="仿宋" w:hAnsi="仿宋" w:eastAsia="仿宋" w:cs="仿宋"/>
          <w:b w:val="0"/>
          <w:bCs/>
          <w:snapToGrid w:val="0"/>
          <w:color w:val="000000" w:themeColor="text1"/>
          <w:spacing w:val="6"/>
          <w:kern w:val="0"/>
          <w:sz w:val="24"/>
          <w:szCs w:val="24"/>
          <w14:textFill>
            <w14:solidFill>
              <w14:schemeClr w14:val="tx1"/>
            </w14:solidFill>
          </w14:textFill>
        </w:rPr>
        <w:t>tCO</w:t>
      </w:r>
      <w:r>
        <w:rPr>
          <w:rFonts w:hint="eastAsia" w:ascii="仿宋" w:hAnsi="仿宋" w:eastAsia="仿宋" w:cs="仿宋"/>
          <w:b w:val="0"/>
          <w:bCs/>
          <w:snapToGrid w:val="0"/>
          <w:color w:val="000000" w:themeColor="text1"/>
          <w:spacing w:val="6"/>
          <w:kern w:val="0"/>
          <w:sz w:val="24"/>
          <w:szCs w:val="24"/>
          <w:vertAlign w:val="subscript"/>
          <w14:textFill>
            <w14:solidFill>
              <w14:schemeClr w14:val="tx1"/>
            </w14:solidFill>
          </w14:textFill>
        </w:rPr>
        <w:t>2</w:t>
      </w:r>
      <w:r>
        <w:rPr>
          <w:rFonts w:hint="eastAsia" w:ascii="仿宋" w:hAnsi="仿宋" w:eastAsia="仿宋" w:cs="仿宋"/>
          <w:b w:val="0"/>
          <w:bCs/>
          <w:snapToGrid w:val="0"/>
          <w:color w:val="000000" w:themeColor="text1"/>
          <w:spacing w:val="6"/>
          <w:kern w:val="0"/>
          <w:sz w:val="24"/>
          <w:szCs w:val="24"/>
          <w14:textFill>
            <w14:solidFill>
              <w14:schemeClr w14:val="tx1"/>
            </w14:solidFill>
          </w14:textFill>
        </w:rPr>
        <w:t>e。</w:t>
      </w:r>
    </w:p>
    <w:p>
      <w:pPr>
        <w:widowControl/>
        <w:spacing w:line="240" w:lineRule="auto"/>
        <w:ind w:firstLine="0" w:firstLineChars="0"/>
        <w:jc w:val="center"/>
        <w:rPr>
          <w:rFonts w:hint="eastAsia" w:ascii="宋体" w:hAnsi="宋体" w:eastAsia="宋体" w:cs="宋体"/>
          <w:b w:val="0"/>
          <w:bCs/>
          <w:color w:val="0070C0"/>
          <w:kern w:val="0"/>
          <w:sz w:val="18"/>
          <w:szCs w:val="18"/>
          <w:lang w:val="en-US" w:eastAsia="zh-CN"/>
        </w:rPr>
      </w:pPr>
      <w:r>
        <w:rPr>
          <w:rFonts w:hint="eastAsia" w:ascii="宋体" w:hAnsi="宋体" w:eastAsia="宋体" w:cs="宋体"/>
          <w:b w:val="0"/>
          <w:bCs/>
          <w:color w:val="0070C0"/>
          <w:kern w:val="0"/>
          <w:sz w:val="18"/>
          <w:szCs w:val="18"/>
          <w:lang w:val="en-US" w:eastAsia="zh-CN"/>
        </w:rPr>
        <w:t>7-4投融资（八大高碳行业）碳排放</w:t>
      </w:r>
    </w:p>
    <w:tbl>
      <w:tblPr>
        <w:tblStyle w:val="21"/>
        <w:tblW w:w="9837" w:type="dxa"/>
        <w:jc w:val="center"/>
        <w:tblLayout w:type="fixed"/>
        <w:tblCellMar>
          <w:top w:w="0" w:type="dxa"/>
          <w:left w:w="108" w:type="dxa"/>
          <w:bottom w:w="0" w:type="dxa"/>
          <w:right w:w="108" w:type="dxa"/>
        </w:tblCellMar>
      </w:tblPr>
      <w:tblGrid>
        <w:gridCol w:w="1519"/>
        <w:gridCol w:w="1436"/>
        <w:gridCol w:w="1461"/>
        <w:gridCol w:w="1393"/>
        <w:gridCol w:w="1349"/>
        <w:gridCol w:w="1327"/>
        <w:gridCol w:w="1352"/>
      </w:tblGrid>
      <w:tr>
        <w:tblPrEx>
          <w:tblCellMar>
            <w:top w:w="0" w:type="dxa"/>
            <w:left w:w="108" w:type="dxa"/>
            <w:bottom w:w="0" w:type="dxa"/>
            <w:right w:w="108" w:type="dxa"/>
          </w:tblCellMar>
        </w:tblPrEx>
        <w:trPr>
          <w:trHeight w:val="646" w:hRule="atLeast"/>
          <w:tblHeader/>
          <w:jc w:val="center"/>
        </w:trPr>
        <w:tc>
          <w:tcPr>
            <w:tcW w:w="1519"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bCs w:val="0"/>
                <w:color w:val="000000" w:themeColor="text1"/>
                <w:kern w:val="0"/>
                <w:sz w:val="18"/>
                <w:szCs w:val="18"/>
                <w14:textFill>
                  <w14:solidFill>
                    <w14:schemeClr w14:val="tx1"/>
                  </w14:solidFill>
                </w14:textFill>
              </w:rPr>
            </w:pPr>
            <w:r>
              <w:rPr>
                <w:rFonts w:hint="eastAsia" w:ascii="宋体" w:hAnsi="宋体" w:eastAsia="宋体" w:cs="宋体"/>
                <w:b/>
                <w:bCs w:val="0"/>
                <w:color w:val="000000" w:themeColor="text1"/>
                <w:kern w:val="0"/>
                <w:sz w:val="18"/>
                <w:szCs w:val="18"/>
                <w14:textFill>
                  <w14:solidFill>
                    <w14:schemeClr w14:val="tx1"/>
                  </w14:solidFill>
                </w14:textFill>
              </w:rPr>
              <w:t>八大高碳行业</w:t>
            </w:r>
          </w:p>
        </w:tc>
        <w:tc>
          <w:tcPr>
            <w:tcW w:w="289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bCs w:val="0"/>
                <w:color w:val="000000" w:themeColor="text1"/>
                <w:kern w:val="0"/>
                <w:sz w:val="18"/>
                <w:szCs w:val="18"/>
                <w14:textFill>
                  <w14:solidFill>
                    <w14:schemeClr w14:val="tx1"/>
                  </w14:solidFill>
                </w14:textFill>
              </w:rPr>
            </w:pPr>
            <w:r>
              <w:rPr>
                <w:rFonts w:hint="eastAsia" w:ascii="宋体" w:hAnsi="宋体" w:eastAsia="宋体" w:cs="宋体"/>
                <w:b/>
                <w:bCs w:val="0"/>
                <w:color w:val="000000" w:themeColor="text1"/>
                <w:kern w:val="0"/>
                <w:sz w:val="18"/>
                <w:szCs w:val="18"/>
                <w14:textFill>
                  <w14:solidFill>
                    <w14:schemeClr w14:val="tx1"/>
                  </w14:solidFill>
                </w14:textFill>
              </w:rPr>
              <w:t>贷款月均融资余额及</w:t>
            </w:r>
          </w:p>
          <w:p>
            <w:pPr>
              <w:widowControl/>
              <w:spacing w:line="240" w:lineRule="auto"/>
              <w:ind w:firstLine="0" w:firstLineChars="0"/>
              <w:jc w:val="center"/>
              <w:rPr>
                <w:rFonts w:hint="eastAsia" w:ascii="宋体" w:hAnsi="宋体" w:eastAsia="宋体" w:cs="宋体"/>
                <w:b/>
                <w:bCs w:val="0"/>
                <w:color w:val="000000" w:themeColor="text1"/>
                <w:kern w:val="0"/>
                <w:sz w:val="18"/>
                <w:szCs w:val="18"/>
                <w14:textFill>
                  <w14:solidFill>
                    <w14:schemeClr w14:val="tx1"/>
                  </w14:solidFill>
                </w14:textFill>
              </w:rPr>
            </w:pPr>
            <w:r>
              <w:rPr>
                <w:rFonts w:hint="eastAsia" w:ascii="宋体" w:hAnsi="宋体" w:eastAsia="宋体" w:cs="宋体"/>
                <w:b/>
                <w:bCs w:val="0"/>
                <w:color w:val="000000" w:themeColor="text1"/>
                <w:kern w:val="0"/>
                <w:sz w:val="18"/>
                <w:szCs w:val="18"/>
                <w14:textFill>
                  <w14:solidFill>
                    <w14:schemeClr w14:val="tx1"/>
                  </w14:solidFill>
                </w14:textFill>
              </w:rPr>
              <w:t>债券投资账面价值总和（万元）</w:t>
            </w:r>
          </w:p>
        </w:tc>
        <w:tc>
          <w:tcPr>
            <w:tcW w:w="2742"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bCs w:val="0"/>
                <w:color w:val="000000" w:themeColor="text1"/>
                <w:kern w:val="0"/>
                <w:sz w:val="18"/>
                <w:szCs w:val="18"/>
                <w14:textFill>
                  <w14:solidFill>
                    <w14:schemeClr w14:val="tx1"/>
                  </w14:solidFill>
                </w14:textFill>
              </w:rPr>
            </w:pPr>
            <w:r>
              <w:rPr>
                <w:rFonts w:hint="eastAsia" w:ascii="宋体" w:hAnsi="宋体" w:eastAsia="宋体" w:cs="宋体"/>
                <w:b/>
                <w:bCs w:val="0"/>
                <w:color w:val="000000" w:themeColor="text1"/>
                <w:kern w:val="0"/>
                <w:sz w:val="18"/>
                <w:szCs w:val="18"/>
                <w14:textFill>
                  <w14:solidFill>
                    <w14:schemeClr w14:val="tx1"/>
                  </w14:solidFill>
                </w14:textFill>
              </w:rPr>
              <w:t>贷款及债券投资</w:t>
            </w:r>
          </w:p>
          <w:p>
            <w:pPr>
              <w:widowControl/>
              <w:spacing w:line="240" w:lineRule="auto"/>
              <w:ind w:firstLine="0" w:firstLineChars="0"/>
              <w:jc w:val="center"/>
              <w:rPr>
                <w:rFonts w:hint="eastAsia" w:ascii="宋体" w:hAnsi="宋体" w:eastAsia="宋体" w:cs="宋体"/>
                <w:b/>
                <w:bCs w:val="0"/>
                <w:color w:val="000000" w:themeColor="text1"/>
                <w:kern w:val="0"/>
                <w:sz w:val="18"/>
                <w:szCs w:val="18"/>
                <w14:textFill>
                  <w14:solidFill>
                    <w14:schemeClr w14:val="tx1"/>
                  </w14:solidFill>
                </w14:textFill>
              </w:rPr>
            </w:pPr>
            <w:r>
              <w:rPr>
                <w:rFonts w:hint="eastAsia" w:ascii="宋体" w:hAnsi="宋体" w:eastAsia="宋体" w:cs="宋体"/>
                <w:b/>
                <w:bCs w:val="0"/>
                <w:color w:val="000000" w:themeColor="text1"/>
                <w:kern w:val="0"/>
                <w:sz w:val="18"/>
                <w:szCs w:val="18"/>
                <w14:textFill>
                  <w14:solidFill>
                    <w14:schemeClr w14:val="tx1"/>
                  </w14:solidFill>
                </w14:textFill>
              </w:rPr>
              <w:t>碳排放量（</w:t>
            </w:r>
            <w:r>
              <w:rPr>
                <w:rFonts w:hint="default" w:ascii="宋体" w:hAnsi="宋体" w:eastAsia="宋体" w:cs="宋体"/>
                <w:b/>
                <w:bCs w:val="0"/>
                <w:color w:val="000000" w:themeColor="text1"/>
                <w:kern w:val="0"/>
                <w:sz w:val="18"/>
                <w:szCs w:val="18"/>
                <w:lang w:val="en-US"/>
                <w14:textFill>
                  <w14:solidFill>
                    <w14:schemeClr w14:val="tx1"/>
                  </w14:solidFill>
                </w14:textFill>
              </w:rPr>
              <w:t>tCO2e</w:t>
            </w:r>
            <w:r>
              <w:rPr>
                <w:rFonts w:hint="eastAsia" w:ascii="宋体" w:hAnsi="宋体" w:eastAsia="宋体" w:cs="宋体"/>
                <w:b/>
                <w:bCs w:val="0"/>
                <w:color w:val="000000" w:themeColor="text1"/>
                <w:kern w:val="0"/>
                <w:sz w:val="18"/>
                <w:szCs w:val="18"/>
                <w14:textFill>
                  <w14:solidFill>
                    <w14:schemeClr w14:val="tx1"/>
                  </w14:solidFill>
                </w14:textFill>
              </w:rPr>
              <w:t>）</w:t>
            </w:r>
          </w:p>
        </w:tc>
        <w:tc>
          <w:tcPr>
            <w:tcW w:w="2679"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bCs w:val="0"/>
                <w:color w:val="000000" w:themeColor="text1"/>
                <w:kern w:val="0"/>
                <w:sz w:val="18"/>
                <w:szCs w:val="18"/>
                <w14:textFill>
                  <w14:solidFill>
                    <w14:schemeClr w14:val="tx1"/>
                  </w14:solidFill>
                </w14:textFill>
              </w:rPr>
            </w:pPr>
            <w:r>
              <w:rPr>
                <w:rFonts w:hint="eastAsia" w:ascii="宋体" w:hAnsi="宋体" w:eastAsia="宋体" w:cs="宋体"/>
                <w:b/>
                <w:bCs w:val="0"/>
                <w:color w:val="000000" w:themeColor="text1"/>
                <w:kern w:val="0"/>
                <w:sz w:val="18"/>
                <w:szCs w:val="18"/>
                <w14:textFill>
                  <w14:solidFill>
                    <w14:schemeClr w14:val="tx1"/>
                  </w14:solidFill>
                </w14:textFill>
              </w:rPr>
              <w:t>碳排放强度</w:t>
            </w:r>
          </w:p>
          <w:p>
            <w:pPr>
              <w:widowControl/>
              <w:spacing w:line="240" w:lineRule="auto"/>
              <w:ind w:firstLine="0" w:firstLineChars="0"/>
              <w:jc w:val="center"/>
              <w:rPr>
                <w:rFonts w:hint="eastAsia" w:ascii="宋体" w:hAnsi="宋体" w:eastAsia="宋体" w:cs="宋体"/>
                <w:b/>
                <w:bCs w:val="0"/>
                <w:color w:val="000000" w:themeColor="text1"/>
                <w:kern w:val="0"/>
                <w:sz w:val="18"/>
                <w:szCs w:val="18"/>
                <w14:textFill>
                  <w14:solidFill>
                    <w14:schemeClr w14:val="tx1"/>
                  </w14:solidFill>
                </w14:textFill>
              </w:rPr>
            </w:pPr>
            <w:r>
              <w:rPr>
                <w:rFonts w:hint="eastAsia" w:ascii="宋体" w:hAnsi="宋体" w:eastAsia="宋体" w:cs="宋体"/>
                <w:b/>
                <w:bCs w:val="0"/>
                <w:color w:val="000000" w:themeColor="text1"/>
                <w:kern w:val="0"/>
                <w:sz w:val="18"/>
                <w:szCs w:val="18"/>
                <w14:textFill>
                  <w14:solidFill>
                    <w14:schemeClr w14:val="tx1"/>
                  </w14:solidFill>
                </w14:textFill>
              </w:rPr>
              <w:t>（</w:t>
            </w:r>
            <w:r>
              <w:rPr>
                <w:rFonts w:hint="default" w:ascii="宋体" w:hAnsi="宋体" w:eastAsia="宋体" w:cs="宋体"/>
                <w:b/>
                <w:bCs w:val="0"/>
                <w:color w:val="000000" w:themeColor="text1"/>
                <w:kern w:val="0"/>
                <w:sz w:val="18"/>
                <w:szCs w:val="18"/>
                <w:lang w:val="en-US"/>
                <w14:textFill>
                  <w14:solidFill>
                    <w14:schemeClr w14:val="tx1"/>
                  </w14:solidFill>
                </w14:textFill>
              </w:rPr>
              <w:t>tCO2e</w:t>
            </w:r>
            <w:r>
              <w:rPr>
                <w:rFonts w:hint="eastAsia" w:ascii="宋体" w:hAnsi="宋体" w:eastAsia="宋体" w:cs="宋体"/>
                <w:b/>
                <w:bCs w:val="0"/>
                <w:color w:val="000000" w:themeColor="text1"/>
                <w:kern w:val="0"/>
                <w:sz w:val="18"/>
                <w:szCs w:val="18"/>
                <w14:textFill>
                  <w14:solidFill>
                    <w14:schemeClr w14:val="tx1"/>
                  </w14:solidFill>
                </w14:textFill>
              </w:rPr>
              <w:t>/万元）</w:t>
            </w:r>
          </w:p>
        </w:tc>
      </w:tr>
      <w:tr>
        <w:tblPrEx>
          <w:tblCellMar>
            <w:top w:w="0" w:type="dxa"/>
            <w:left w:w="108" w:type="dxa"/>
            <w:bottom w:w="0" w:type="dxa"/>
            <w:right w:w="108" w:type="dxa"/>
          </w:tblCellMar>
        </w:tblPrEx>
        <w:trPr>
          <w:trHeight w:val="331" w:hRule="atLeast"/>
          <w:tblHeader/>
          <w:jc w:val="center"/>
        </w:trPr>
        <w:tc>
          <w:tcPr>
            <w:tcW w:w="1519"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firstLine="0" w:firstLineChars="0"/>
              <w:jc w:val="left"/>
              <w:rPr>
                <w:rFonts w:hint="eastAsia" w:ascii="宋体" w:hAnsi="宋体" w:eastAsia="宋体" w:cs="宋体"/>
                <w:b/>
                <w:bCs w:val="0"/>
                <w:color w:val="000000" w:themeColor="text1"/>
                <w:kern w:val="0"/>
                <w:sz w:val="18"/>
                <w:szCs w:val="18"/>
                <w14:textFill>
                  <w14:solidFill>
                    <w14:schemeClr w14:val="tx1"/>
                  </w14:solidFill>
                </w14:textFill>
              </w:rPr>
            </w:pPr>
          </w:p>
        </w:tc>
        <w:tc>
          <w:tcPr>
            <w:tcW w:w="143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firstLine="0" w:firstLineChars="0"/>
              <w:jc w:val="center"/>
              <w:rPr>
                <w:rFonts w:hint="eastAsia" w:ascii="宋体" w:hAnsi="宋体" w:eastAsia="宋体" w:cs="宋体"/>
                <w:b/>
                <w:bCs w:val="0"/>
                <w:color w:val="000000" w:themeColor="text1"/>
                <w:kern w:val="0"/>
                <w:sz w:val="22"/>
                <w14:textFill>
                  <w14:solidFill>
                    <w14:schemeClr w14:val="tx1"/>
                  </w14:solidFill>
                </w14:textFill>
              </w:rPr>
            </w:pPr>
            <w:r>
              <w:rPr>
                <w:rFonts w:hint="eastAsia" w:ascii="宋体" w:hAnsi="宋体" w:eastAsia="宋体" w:cs="宋体"/>
                <w:b/>
                <w:bCs w:val="0"/>
                <w:color w:val="000000"/>
                <w:kern w:val="0"/>
                <w:sz w:val="18"/>
                <w:szCs w:val="18"/>
                <w:lang w:val="en-US" w:eastAsia="zh-CN"/>
              </w:rPr>
              <w:t>2025</w:t>
            </w:r>
            <w:r>
              <w:rPr>
                <w:rFonts w:hint="eastAsia" w:ascii="宋体" w:hAnsi="宋体" w:eastAsia="宋体" w:cs="宋体"/>
                <w:b/>
                <w:bCs w:val="0"/>
                <w:color w:val="000000"/>
                <w:kern w:val="0"/>
                <w:sz w:val="22"/>
              </w:rPr>
              <w:t>年</w:t>
            </w:r>
          </w:p>
        </w:tc>
        <w:tc>
          <w:tcPr>
            <w:tcW w:w="1461"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firstLine="0" w:firstLineChars="0"/>
              <w:jc w:val="center"/>
              <w:rPr>
                <w:rFonts w:hint="eastAsia" w:ascii="宋体" w:hAnsi="宋体" w:eastAsia="宋体" w:cs="宋体"/>
                <w:b/>
                <w:bCs w:val="0"/>
                <w:color w:val="000000" w:themeColor="text1"/>
                <w:kern w:val="0"/>
                <w:sz w:val="22"/>
                <w14:textFill>
                  <w14:solidFill>
                    <w14:schemeClr w14:val="tx1"/>
                  </w14:solidFill>
                </w14:textFill>
              </w:rPr>
            </w:pPr>
            <w:r>
              <w:rPr>
                <w:rFonts w:hint="eastAsia" w:ascii="宋体" w:hAnsi="宋体" w:eastAsia="宋体" w:cs="宋体"/>
                <w:b/>
                <w:bCs w:val="0"/>
                <w:color w:val="000000"/>
                <w:kern w:val="0"/>
                <w:sz w:val="18"/>
                <w:szCs w:val="18"/>
                <w:lang w:val="en-US" w:eastAsia="zh-CN"/>
              </w:rPr>
              <w:t>2024</w:t>
            </w:r>
            <w:r>
              <w:rPr>
                <w:rFonts w:hint="eastAsia" w:ascii="宋体" w:hAnsi="宋体" w:eastAsia="宋体" w:cs="宋体"/>
                <w:b/>
                <w:bCs w:val="0"/>
                <w:color w:val="000000"/>
                <w:kern w:val="0"/>
                <w:sz w:val="22"/>
              </w:rPr>
              <w:t>年</w:t>
            </w:r>
          </w:p>
        </w:tc>
        <w:tc>
          <w:tcPr>
            <w:tcW w:w="139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firstLine="0" w:firstLineChars="0"/>
              <w:jc w:val="center"/>
              <w:rPr>
                <w:rFonts w:hint="eastAsia" w:ascii="宋体" w:hAnsi="宋体" w:eastAsia="宋体" w:cs="宋体"/>
                <w:b/>
                <w:bCs w:val="0"/>
                <w:color w:val="000000" w:themeColor="text1"/>
                <w:kern w:val="0"/>
                <w:sz w:val="22"/>
                <w14:textFill>
                  <w14:solidFill>
                    <w14:schemeClr w14:val="tx1"/>
                  </w14:solidFill>
                </w14:textFill>
              </w:rPr>
            </w:pPr>
            <w:r>
              <w:rPr>
                <w:rFonts w:hint="eastAsia" w:ascii="宋体" w:hAnsi="宋体" w:eastAsia="宋体" w:cs="宋体"/>
                <w:b/>
                <w:bCs w:val="0"/>
                <w:color w:val="000000"/>
                <w:kern w:val="0"/>
                <w:sz w:val="18"/>
                <w:szCs w:val="18"/>
                <w:lang w:val="en-US" w:eastAsia="zh-CN"/>
              </w:rPr>
              <w:t>2025</w:t>
            </w:r>
            <w:r>
              <w:rPr>
                <w:rFonts w:hint="eastAsia" w:ascii="宋体" w:hAnsi="宋体" w:eastAsia="宋体" w:cs="宋体"/>
                <w:b/>
                <w:bCs w:val="0"/>
                <w:color w:val="000000"/>
                <w:kern w:val="0"/>
                <w:sz w:val="22"/>
              </w:rPr>
              <w:t>年</w:t>
            </w:r>
          </w:p>
        </w:tc>
        <w:tc>
          <w:tcPr>
            <w:tcW w:w="1349"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firstLine="0" w:firstLineChars="0"/>
              <w:jc w:val="center"/>
              <w:rPr>
                <w:rFonts w:hint="eastAsia" w:ascii="宋体" w:hAnsi="宋体" w:eastAsia="宋体" w:cs="宋体"/>
                <w:b/>
                <w:bCs w:val="0"/>
                <w:color w:val="000000" w:themeColor="text1"/>
                <w:kern w:val="0"/>
                <w:sz w:val="22"/>
                <w14:textFill>
                  <w14:solidFill>
                    <w14:schemeClr w14:val="tx1"/>
                  </w14:solidFill>
                </w14:textFill>
              </w:rPr>
            </w:pPr>
            <w:r>
              <w:rPr>
                <w:rFonts w:hint="eastAsia" w:ascii="宋体" w:hAnsi="宋体" w:eastAsia="宋体" w:cs="宋体"/>
                <w:b/>
                <w:bCs w:val="0"/>
                <w:color w:val="000000"/>
                <w:kern w:val="0"/>
                <w:sz w:val="18"/>
                <w:szCs w:val="18"/>
                <w:lang w:val="en-US" w:eastAsia="zh-CN"/>
              </w:rPr>
              <w:t>2024</w:t>
            </w:r>
            <w:r>
              <w:rPr>
                <w:rFonts w:hint="eastAsia" w:ascii="宋体" w:hAnsi="宋体" w:eastAsia="宋体" w:cs="宋体"/>
                <w:b/>
                <w:bCs w:val="0"/>
                <w:color w:val="000000"/>
                <w:kern w:val="0"/>
                <w:sz w:val="22"/>
              </w:rPr>
              <w:t>年</w:t>
            </w:r>
          </w:p>
        </w:tc>
        <w:tc>
          <w:tcPr>
            <w:tcW w:w="132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firstLine="0" w:firstLineChars="0"/>
              <w:jc w:val="center"/>
              <w:rPr>
                <w:rFonts w:hint="eastAsia" w:ascii="宋体" w:hAnsi="宋体" w:eastAsia="宋体" w:cs="宋体"/>
                <w:b/>
                <w:bCs w:val="0"/>
                <w:color w:val="000000" w:themeColor="text1"/>
                <w:kern w:val="0"/>
                <w:sz w:val="22"/>
                <w14:textFill>
                  <w14:solidFill>
                    <w14:schemeClr w14:val="tx1"/>
                  </w14:solidFill>
                </w14:textFill>
              </w:rPr>
            </w:pPr>
            <w:r>
              <w:rPr>
                <w:rFonts w:hint="eastAsia" w:ascii="宋体" w:hAnsi="宋体" w:eastAsia="宋体" w:cs="宋体"/>
                <w:b/>
                <w:bCs w:val="0"/>
                <w:color w:val="000000"/>
                <w:kern w:val="0"/>
                <w:sz w:val="18"/>
                <w:szCs w:val="18"/>
                <w:lang w:val="en-US" w:eastAsia="zh-CN"/>
              </w:rPr>
              <w:t>2025</w:t>
            </w:r>
            <w:r>
              <w:rPr>
                <w:rFonts w:hint="eastAsia" w:ascii="宋体" w:hAnsi="宋体" w:eastAsia="宋体" w:cs="宋体"/>
                <w:b/>
                <w:bCs w:val="0"/>
                <w:color w:val="000000"/>
                <w:kern w:val="0"/>
                <w:sz w:val="22"/>
              </w:rPr>
              <w:t>年</w:t>
            </w:r>
          </w:p>
        </w:tc>
        <w:tc>
          <w:tcPr>
            <w:tcW w:w="135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firstLine="0" w:firstLineChars="0"/>
              <w:jc w:val="center"/>
              <w:rPr>
                <w:rFonts w:hint="eastAsia" w:ascii="宋体" w:hAnsi="宋体" w:eastAsia="宋体" w:cs="宋体"/>
                <w:b/>
                <w:bCs w:val="0"/>
                <w:color w:val="000000" w:themeColor="text1"/>
                <w:kern w:val="0"/>
                <w:sz w:val="22"/>
                <w14:textFill>
                  <w14:solidFill>
                    <w14:schemeClr w14:val="tx1"/>
                  </w14:solidFill>
                </w14:textFill>
              </w:rPr>
            </w:pPr>
            <w:r>
              <w:rPr>
                <w:rFonts w:hint="eastAsia" w:ascii="宋体" w:hAnsi="宋体" w:eastAsia="宋体" w:cs="宋体"/>
                <w:b/>
                <w:bCs w:val="0"/>
                <w:color w:val="000000"/>
                <w:kern w:val="0"/>
                <w:sz w:val="18"/>
                <w:szCs w:val="18"/>
                <w:lang w:val="en-US" w:eastAsia="zh-CN"/>
              </w:rPr>
              <w:t>2024</w:t>
            </w:r>
            <w:r>
              <w:rPr>
                <w:rFonts w:hint="eastAsia" w:ascii="宋体" w:hAnsi="宋体" w:eastAsia="宋体" w:cs="宋体"/>
                <w:b/>
                <w:bCs w:val="0"/>
                <w:color w:val="000000"/>
                <w:kern w:val="0"/>
                <w:sz w:val="22"/>
              </w:rPr>
              <w:t>年</w:t>
            </w:r>
          </w:p>
        </w:tc>
      </w:tr>
      <w:tr>
        <w:tblPrEx>
          <w:tblCellMar>
            <w:top w:w="0" w:type="dxa"/>
            <w:left w:w="108" w:type="dxa"/>
            <w:bottom w:w="0" w:type="dxa"/>
            <w:right w:w="108" w:type="dxa"/>
          </w:tblCellMar>
        </w:tblPrEx>
        <w:trPr>
          <w:trHeight w:val="331" w:hRule="atLeast"/>
          <w:jc w:val="center"/>
        </w:trPr>
        <w:tc>
          <w:tcPr>
            <w:tcW w:w="1519"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电力</w:t>
            </w:r>
          </w:p>
        </w:tc>
        <w:tc>
          <w:tcPr>
            <w:tcW w:w="143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1085</w:t>
            </w:r>
          </w:p>
        </w:tc>
        <w:tc>
          <w:tcPr>
            <w:tcW w:w="146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color w:val="000000"/>
                <w:kern w:val="0"/>
                <w:sz w:val="18"/>
                <w:szCs w:val="18"/>
                <w:lang w:val="en-US" w:eastAsia="zh-CN"/>
              </w:rPr>
              <w:t>500</w:t>
            </w:r>
          </w:p>
        </w:tc>
        <w:tc>
          <w:tcPr>
            <w:tcW w:w="1393"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color w:val="000000"/>
                <w:kern w:val="0"/>
                <w:sz w:val="18"/>
                <w:szCs w:val="18"/>
                <w:lang w:val="en-US" w:eastAsia="zh-CN"/>
              </w:rPr>
              <w:t>14.54946</w:t>
            </w:r>
          </w:p>
        </w:tc>
        <w:tc>
          <w:tcPr>
            <w:tcW w:w="1349"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color w:val="000000"/>
                <w:kern w:val="0"/>
                <w:sz w:val="18"/>
                <w:szCs w:val="18"/>
                <w:lang w:val="en-US" w:eastAsia="zh-CN"/>
              </w:rPr>
              <w:t>21.75082</w:t>
            </w:r>
          </w:p>
        </w:tc>
        <w:tc>
          <w:tcPr>
            <w:tcW w:w="132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color w:val="000000"/>
                <w:kern w:val="0"/>
                <w:sz w:val="18"/>
                <w:szCs w:val="18"/>
                <w:lang w:val="en-US" w:eastAsia="zh-CN"/>
              </w:rPr>
              <w:t>0.01341</w:t>
            </w:r>
          </w:p>
        </w:tc>
        <w:tc>
          <w:tcPr>
            <w:tcW w:w="135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color w:val="000000"/>
                <w:kern w:val="0"/>
                <w:sz w:val="18"/>
                <w:szCs w:val="18"/>
                <w:lang w:val="en-US" w:eastAsia="zh-CN"/>
              </w:rPr>
              <w:t>0.0435</w:t>
            </w:r>
          </w:p>
        </w:tc>
      </w:tr>
      <w:tr>
        <w:tblPrEx>
          <w:tblCellMar>
            <w:top w:w="0" w:type="dxa"/>
            <w:left w:w="108" w:type="dxa"/>
            <w:bottom w:w="0" w:type="dxa"/>
            <w:right w:w="108" w:type="dxa"/>
          </w:tblCellMar>
        </w:tblPrEx>
        <w:trPr>
          <w:trHeight w:val="331" w:hRule="atLeast"/>
          <w:jc w:val="center"/>
        </w:trPr>
        <w:tc>
          <w:tcPr>
            <w:tcW w:w="1519"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钢铁</w:t>
            </w:r>
          </w:p>
        </w:tc>
        <w:tc>
          <w:tcPr>
            <w:tcW w:w="143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1500</w:t>
            </w:r>
          </w:p>
        </w:tc>
        <w:tc>
          <w:tcPr>
            <w:tcW w:w="146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color w:val="000000"/>
                <w:kern w:val="0"/>
                <w:sz w:val="18"/>
                <w:szCs w:val="18"/>
                <w:lang w:val="en-US" w:eastAsia="zh-CN"/>
              </w:rPr>
              <w:t>331630</w:t>
            </w:r>
          </w:p>
        </w:tc>
        <w:tc>
          <w:tcPr>
            <w:tcW w:w="1393"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color w:val="000000"/>
                <w:kern w:val="0"/>
                <w:sz w:val="18"/>
                <w:szCs w:val="18"/>
                <w:lang w:val="en-US" w:eastAsia="zh-CN"/>
              </w:rPr>
              <w:t>480</w:t>
            </w:r>
          </w:p>
        </w:tc>
        <w:tc>
          <w:tcPr>
            <w:tcW w:w="1349"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color w:val="000000"/>
                <w:kern w:val="0"/>
                <w:sz w:val="18"/>
                <w:szCs w:val="18"/>
                <w:lang w:val="en-US" w:eastAsia="zh-CN"/>
              </w:rPr>
              <w:t>42296.34506</w:t>
            </w:r>
          </w:p>
        </w:tc>
        <w:tc>
          <w:tcPr>
            <w:tcW w:w="132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color w:val="000000"/>
                <w:kern w:val="0"/>
                <w:sz w:val="18"/>
                <w:szCs w:val="18"/>
                <w:lang w:val="en-US" w:eastAsia="zh-CN"/>
              </w:rPr>
              <w:t>0.32</w:t>
            </w:r>
          </w:p>
        </w:tc>
        <w:tc>
          <w:tcPr>
            <w:tcW w:w="135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color w:val="000000"/>
                <w:kern w:val="0"/>
                <w:sz w:val="18"/>
                <w:szCs w:val="18"/>
                <w:lang w:val="en-US" w:eastAsia="zh-CN"/>
              </w:rPr>
              <w:t>0.12754</w:t>
            </w:r>
          </w:p>
        </w:tc>
      </w:tr>
      <w:tr>
        <w:tblPrEx>
          <w:tblCellMar>
            <w:top w:w="0" w:type="dxa"/>
            <w:left w:w="108" w:type="dxa"/>
            <w:bottom w:w="0" w:type="dxa"/>
            <w:right w:w="108" w:type="dxa"/>
          </w:tblCellMar>
        </w:tblPrEx>
        <w:trPr>
          <w:trHeight w:val="331" w:hRule="atLeast"/>
          <w:jc w:val="center"/>
        </w:trPr>
        <w:tc>
          <w:tcPr>
            <w:tcW w:w="1519"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建材</w:t>
            </w:r>
          </w:p>
        </w:tc>
        <w:tc>
          <w:tcPr>
            <w:tcW w:w="143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0</w:t>
            </w:r>
          </w:p>
        </w:tc>
        <w:tc>
          <w:tcPr>
            <w:tcW w:w="146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color w:val="000000"/>
                <w:kern w:val="0"/>
                <w:sz w:val="18"/>
                <w:szCs w:val="18"/>
                <w:lang w:val="en-US" w:eastAsia="zh-CN"/>
              </w:rPr>
              <w:t>0</w:t>
            </w:r>
          </w:p>
        </w:tc>
        <w:tc>
          <w:tcPr>
            <w:tcW w:w="1393"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color w:val="000000"/>
                <w:kern w:val="0"/>
                <w:sz w:val="18"/>
                <w:szCs w:val="18"/>
                <w:lang w:val="en-US" w:eastAsia="zh-CN"/>
              </w:rPr>
              <w:t>0</w:t>
            </w:r>
          </w:p>
        </w:tc>
        <w:tc>
          <w:tcPr>
            <w:tcW w:w="1349"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color w:val="000000"/>
                <w:kern w:val="0"/>
                <w:sz w:val="18"/>
                <w:szCs w:val="18"/>
                <w:lang w:val="en-US" w:eastAsia="zh-CN"/>
              </w:rPr>
              <w:t>0</w:t>
            </w:r>
          </w:p>
        </w:tc>
        <w:tc>
          <w:tcPr>
            <w:tcW w:w="132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color w:val="000000"/>
                <w:kern w:val="0"/>
                <w:sz w:val="18"/>
                <w:szCs w:val="18"/>
                <w:lang w:val="en-US" w:eastAsia="zh-CN"/>
              </w:rPr>
              <w:t>0</w:t>
            </w:r>
          </w:p>
        </w:tc>
        <w:tc>
          <w:tcPr>
            <w:tcW w:w="135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color w:val="000000"/>
                <w:kern w:val="0"/>
                <w:sz w:val="18"/>
                <w:szCs w:val="18"/>
                <w:lang w:val="en-US" w:eastAsia="zh-CN"/>
              </w:rPr>
              <w:t>0</w:t>
            </w:r>
          </w:p>
        </w:tc>
      </w:tr>
      <w:tr>
        <w:tblPrEx>
          <w:tblCellMar>
            <w:top w:w="0" w:type="dxa"/>
            <w:left w:w="108" w:type="dxa"/>
            <w:bottom w:w="0" w:type="dxa"/>
            <w:right w:w="108" w:type="dxa"/>
          </w:tblCellMar>
        </w:tblPrEx>
        <w:trPr>
          <w:trHeight w:val="331" w:hRule="atLeast"/>
          <w:jc w:val="center"/>
        </w:trPr>
        <w:tc>
          <w:tcPr>
            <w:tcW w:w="1519"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石化</w:t>
            </w:r>
          </w:p>
        </w:tc>
        <w:tc>
          <w:tcPr>
            <w:tcW w:w="143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100</w:t>
            </w:r>
          </w:p>
        </w:tc>
        <w:tc>
          <w:tcPr>
            <w:tcW w:w="146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color w:val="000000"/>
                <w:kern w:val="0"/>
                <w:sz w:val="18"/>
                <w:szCs w:val="18"/>
                <w:lang w:val="en-US" w:eastAsia="zh-CN"/>
              </w:rPr>
              <w:t>200</w:t>
            </w:r>
          </w:p>
        </w:tc>
        <w:tc>
          <w:tcPr>
            <w:tcW w:w="1393"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color w:val="000000"/>
                <w:kern w:val="0"/>
                <w:sz w:val="18"/>
                <w:szCs w:val="18"/>
                <w:lang w:val="en-US" w:eastAsia="zh-CN"/>
              </w:rPr>
              <w:t>32</w:t>
            </w:r>
          </w:p>
        </w:tc>
        <w:tc>
          <w:tcPr>
            <w:tcW w:w="1349"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color w:val="000000"/>
                <w:kern w:val="0"/>
                <w:sz w:val="18"/>
                <w:szCs w:val="18"/>
                <w:lang w:val="en-US" w:eastAsia="zh-CN"/>
              </w:rPr>
              <w:t>5.48078</w:t>
            </w:r>
          </w:p>
        </w:tc>
        <w:tc>
          <w:tcPr>
            <w:tcW w:w="132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color w:val="000000"/>
                <w:kern w:val="0"/>
                <w:sz w:val="18"/>
                <w:szCs w:val="18"/>
                <w:lang w:val="en-US" w:eastAsia="zh-CN"/>
              </w:rPr>
              <w:t>0.32</w:t>
            </w:r>
          </w:p>
        </w:tc>
        <w:tc>
          <w:tcPr>
            <w:tcW w:w="135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color w:val="000000"/>
                <w:kern w:val="0"/>
                <w:sz w:val="18"/>
                <w:szCs w:val="18"/>
                <w:lang w:val="en-US" w:eastAsia="zh-CN"/>
              </w:rPr>
              <w:t>0.0274</w:t>
            </w:r>
          </w:p>
        </w:tc>
      </w:tr>
      <w:tr>
        <w:tblPrEx>
          <w:tblCellMar>
            <w:top w:w="0" w:type="dxa"/>
            <w:left w:w="108" w:type="dxa"/>
            <w:bottom w:w="0" w:type="dxa"/>
            <w:right w:w="108" w:type="dxa"/>
          </w:tblCellMar>
        </w:tblPrEx>
        <w:trPr>
          <w:trHeight w:val="331" w:hRule="atLeast"/>
          <w:jc w:val="center"/>
        </w:trPr>
        <w:tc>
          <w:tcPr>
            <w:tcW w:w="1519"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化工</w:t>
            </w:r>
          </w:p>
        </w:tc>
        <w:tc>
          <w:tcPr>
            <w:tcW w:w="143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4930</w:t>
            </w:r>
          </w:p>
        </w:tc>
        <w:tc>
          <w:tcPr>
            <w:tcW w:w="146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color w:val="000000"/>
                <w:kern w:val="0"/>
                <w:sz w:val="18"/>
                <w:szCs w:val="18"/>
                <w:lang w:val="en-US" w:eastAsia="zh-CN"/>
              </w:rPr>
              <w:t>1090</w:t>
            </w:r>
          </w:p>
        </w:tc>
        <w:tc>
          <w:tcPr>
            <w:tcW w:w="1393"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color w:val="000000"/>
                <w:kern w:val="0"/>
                <w:sz w:val="18"/>
                <w:szCs w:val="18"/>
                <w:lang w:val="en-US" w:eastAsia="zh-CN"/>
              </w:rPr>
              <w:t>1359.36</w:t>
            </w:r>
          </w:p>
        </w:tc>
        <w:tc>
          <w:tcPr>
            <w:tcW w:w="1349"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color w:val="000000"/>
                <w:kern w:val="0"/>
                <w:sz w:val="18"/>
                <w:szCs w:val="18"/>
                <w:lang w:val="en-US" w:eastAsia="zh-CN"/>
              </w:rPr>
              <w:t>17062.03048</w:t>
            </w:r>
          </w:p>
        </w:tc>
        <w:tc>
          <w:tcPr>
            <w:tcW w:w="132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color w:val="000000"/>
                <w:kern w:val="0"/>
                <w:sz w:val="18"/>
                <w:szCs w:val="18"/>
                <w:lang w:val="en-US" w:eastAsia="zh-CN"/>
              </w:rPr>
              <w:t>0.27573</w:t>
            </w:r>
          </w:p>
        </w:tc>
        <w:tc>
          <w:tcPr>
            <w:tcW w:w="135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color w:val="000000"/>
                <w:kern w:val="0"/>
                <w:sz w:val="18"/>
                <w:szCs w:val="18"/>
                <w:lang w:val="en-US" w:eastAsia="zh-CN"/>
              </w:rPr>
              <w:t>15.65324</w:t>
            </w:r>
          </w:p>
        </w:tc>
      </w:tr>
      <w:tr>
        <w:tblPrEx>
          <w:tblCellMar>
            <w:top w:w="0" w:type="dxa"/>
            <w:left w:w="108" w:type="dxa"/>
            <w:bottom w:w="0" w:type="dxa"/>
            <w:right w:w="108" w:type="dxa"/>
          </w:tblCellMar>
        </w:tblPrEx>
        <w:trPr>
          <w:trHeight w:val="331" w:hRule="atLeast"/>
          <w:jc w:val="center"/>
        </w:trPr>
        <w:tc>
          <w:tcPr>
            <w:tcW w:w="1519"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有色</w:t>
            </w:r>
          </w:p>
        </w:tc>
        <w:tc>
          <w:tcPr>
            <w:tcW w:w="143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0</w:t>
            </w:r>
          </w:p>
        </w:tc>
        <w:tc>
          <w:tcPr>
            <w:tcW w:w="146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color w:val="000000"/>
                <w:kern w:val="0"/>
                <w:sz w:val="18"/>
                <w:szCs w:val="18"/>
                <w:lang w:val="en-US" w:eastAsia="zh-CN"/>
              </w:rPr>
              <w:t>450</w:t>
            </w:r>
          </w:p>
        </w:tc>
        <w:tc>
          <w:tcPr>
            <w:tcW w:w="1393"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color w:val="000000"/>
                <w:kern w:val="0"/>
                <w:sz w:val="18"/>
                <w:szCs w:val="18"/>
                <w:lang w:val="en-US" w:eastAsia="zh-CN"/>
              </w:rPr>
              <w:t>0</w:t>
            </w:r>
          </w:p>
        </w:tc>
        <w:tc>
          <w:tcPr>
            <w:tcW w:w="1349"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color w:val="000000"/>
                <w:kern w:val="0"/>
                <w:sz w:val="18"/>
                <w:szCs w:val="18"/>
                <w:lang w:val="en-US" w:eastAsia="zh-CN"/>
              </w:rPr>
              <w:t>39.89734</w:t>
            </w:r>
          </w:p>
        </w:tc>
        <w:tc>
          <w:tcPr>
            <w:tcW w:w="132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color w:val="000000"/>
                <w:kern w:val="0"/>
                <w:sz w:val="18"/>
                <w:szCs w:val="18"/>
                <w:lang w:val="en-US" w:eastAsia="zh-CN"/>
              </w:rPr>
              <w:t>0</w:t>
            </w:r>
          </w:p>
        </w:tc>
        <w:tc>
          <w:tcPr>
            <w:tcW w:w="135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color w:val="000000"/>
                <w:kern w:val="0"/>
                <w:sz w:val="18"/>
                <w:szCs w:val="18"/>
                <w:lang w:val="en-US" w:eastAsia="zh-CN"/>
              </w:rPr>
              <w:t>0.08866</w:t>
            </w:r>
          </w:p>
        </w:tc>
      </w:tr>
      <w:tr>
        <w:tblPrEx>
          <w:tblCellMar>
            <w:top w:w="0" w:type="dxa"/>
            <w:left w:w="108" w:type="dxa"/>
            <w:bottom w:w="0" w:type="dxa"/>
            <w:right w:w="108" w:type="dxa"/>
          </w:tblCellMar>
        </w:tblPrEx>
        <w:trPr>
          <w:trHeight w:val="331" w:hRule="atLeast"/>
          <w:jc w:val="center"/>
        </w:trPr>
        <w:tc>
          <w:tcPr>
            <w:tcW w:w="1519"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造纸</w:t>
            </w:r>
          </w:p>
        </w:tc>
        <w:tc>
          <w:tcPr>
            <w:tcW w:w="143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0</w:t>
            </w:r>
          </w:p>
        </w:tc>
        <w:tc>
          <w:tcPr>
            <w:tcW w:w="146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color w:val="000000"/>
                <w:kern w:val="0"/>
                <w:sz w:val="18"/>
                <w:szCs w:val="18"/>
                <w:lang w:val="en-US" w:eastAsia="zh-CN"/>
              </w:rPr>
              <w:t>0</w:t>
            </w:r>
          </w:p>
        </w:tc>
        <w:tc>
          <w:tcPr>
            <w:tcW w:w="1393"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color w:val="000000"/>
                <w:kern w:val="0"/>
                <w:sz w:val="18"/>
                <w:szCs w:val="18"/>
                <w:lang w:val="en-US" w:eastAsia="zh-CN"/>
              </w:rPr>
              <w:t>0</w:t>
            </w:r>
          </w:p>
        </w:tc>
        <w:tc>
          <w:tcPr>
            <w:tcW w:w="1349"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color w:val="000000"/>
                <w:kern w:val="0"/>
                <w:sz w:val="18"/>
                <w:szCs w:val="18"/>
                <w:lang w:val="en-US" w:eastAsia="zh-CN"/>
              </w:rPr>
              <w:t>0</w:t>
            </w:r>
          </w:p>
        </w:tc>
        <w:tc>
          <w:tcPr>
            <w:tcW w:w="132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color w:val="000000"/>
                <w:kern w:val="0"/>
                <w:sz w:val="18"/>
                <w:szCs w:val="18"/>
                <w:lang w:val="en-US" w:eastAsia="zh-CN"/>
              </w:rPr>
              <w:t>0</w:t>
            </w:r>
          </w:p>
        </w:tc>
        <w:tc>
          <w:tcPr>
            <w:tcW w:w="135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color w:val="000000"/>
                <w:kern w:val="0"/>
                <w:sz w:val="18"/>
                <w:szCs w:val="18"/>
                <w:lang w:val="en-US" w:eastAsia="zh-CN"/>
              </w:rPr>
              <w:t>0</w:t>
            </w:r>
          </w:p>
        </w:tc>
      </w:tr>
      <w:tr>
        <w:tblPrEx>
          <w:tblCellMar>
            <w:top w:w="0" w:type="dxa"/>
            <w:left w:w="108" w:type="dxa"/>
            <w:bottom w:w="0" w:type="dxa"/>
            <w:right w:w="108" w:type="dxa"/>
          </w:tblCellMar>
        </w:tblPrEx>
        <w:trPr>
          <w:trHeight w:val="331" w:hRule="atLeast"/>
          <w:jc w:val="center"/>
        </w:trPr>
        <w:tc>
          <w:tcPr>
            <w:tcW w:w="1519"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民航</w:t>
            </w:r>
          </w:p>
        </w:tc>
        <w:tc>
          <w:tcPr>
            <w:tcW w:w="143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0</w:t>
            </w:r>
          </w:p>
        </w:tc>
        <w:tc>
          <w:tcPr>
            <w:tcW w:w="146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color w:val="000000"/>
                <w:kern w:val="0"/>
                <w:sz w:val="18"/>
                <w:szCs w:val="18"/>
                <w:lang w:val="en-US" w:eastAsia="zh-CN"/>
              </w:rPr>
              <w:t>0</w:t>
            </w:r>
          </w:p>
        </w:tc>
        <w:tc>
          <w:tcPr>
            <w:tcW w:w="1393"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color w:val="000000"/>
                <w:kern w:val="0"/>
                <w:sz w:val="18"/>
                <w:szCs w:val="18"/>
                <w:lang w:val="en-US" w:eastAsia="zh-CN"/>
              </w:rPr>
              <w:t>0</w:t>
            </w:r>
          </w:p>
        </w:tc>
        <w:tc>
          <w:tcPr>
            <w:tcW w:w="1349"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color w:val="000000"/>
                <w:kern w:val="0"/>
                <w:sz w:val="18"/>
                <w:szCs w:val="18"/>
                <w:lang w:val="en-US" w:eastAsia="zh-CN"/>
              </w:rPr>
              <w:t>0</w:t>
            </w:r>
          </w:p>
        </w:tc>
        <w:tc>
          <w:tcPr>
            <w:tcW w:w="132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color w:val="000000"/>
                <w:kern w:val="0"/>
                <w:sz w:val="18"/>
                <w:szCs w:val="18"/>
                <w:lang w:val="en-US" w:eastAsia="zh-CN"/>
              </w:rPr>
              <w:t>0</w:t>
            </w:r>
          </w:p>
        </w:tc>
        <w:tc>
          <w:tcPr>
            <w:tcW w:w="135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color w:val="000000"/>
                <w:kern w:val="0"/>
                <w:sz w:val="18"/>
                <w:szCs w:val="18"/>
                <w:lang w:val="en-US" w:eastAsia="zh-CN"/>
              </w:rPr>
              <w:t>0</w:t>
            </w:r>
          </w:p>
        </w:tc>
      </w:tr>
      <w:tr>
        <w:tblPrEx>
          <w:tblCellMar>
            <w:top w:w="0" w:type="dxa"/>
            <w:left w:w="108" w:type="dxa"/>
            <w:bottom w:w="0" w:type="dxa"/>
            <w:right w:w="108" w:type="dxa"/>
          </w:tblCellMar>
        </w:tblPrEx>
        <w:trPr>
          <w:trHeight w:val="331" w:hRule="atLeast"/>
          <w:jc w:val="center"/>
        </w:trPr>
        <w:tc>
          <w:tcPr>
            <w:tcW w:w="1519"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总计</w:t>
            </w:r>
          </w:p>
        </w:tc>
        <w:tc>
          <w:tcPr>
            <w:tcW w:w="143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7615</w:t>
            </w:r>
          </w:p>
        </w:tc>
        <w:tc>
          <w:tcPr>
            <w:tcW w:w="146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color w:val="000000"/>
                <w:kern w:val="0"/>
                <w:sz w:val="18"/>
                <w:szCs w:val="18"/>
                <w:lang w:val="en-US" w:eastAsia="zh-CN"/>
              </w:rPr>
              <w:t>333870</w:t>
            </w:r>
          </w:p>
        </w:tc>
        <w:tc>
          <w:tcPr>
            <w:tcW w:w="1393"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color w:val="000000"/>
                <w:kern w:val="0"/>
                <w:sz w:val="18"/>
                <w:szCs w:val="18"/>
                <w:lang w:val="en-US" w:eastAsia="zh-CN"/>
              </w:rPr>
              <w:t>1885.90946</w:t>
            </w:r>
          </w:p>
        </w:tc>
        <w:tc>
          <w:tcPr>
            <w:tcW w:w="1349"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color w:val="000000"/>
                <w:kern w:val="0"/>
                <w:sz w:val="18"/>
                <w:szCs w:val="18"/>
                <w:lang w:val="en-US" w:eastAsia="zh-CN"/>
              </w:rPr>
              <w:t>59425.50448</w:t>
            </w:r>
          </w:p>
        </w:tc>
        <w:tc>
          <w:tcPr>
            <w:tcW w:w="132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color w:val="000000"/>
                <w:kern w:val="0"/>
                <w:sz w:val="18"/>
                <w:szCs w:val="18"/>
                <w:lang w:val="en-US" w:eastAsia="zh-CN"/>
              </w:rPr>
              <w:t>0.24766</w:t>
            </w:r>
          </w:p>
        </w:tc>
        <w:tc>
          <w:tcPr>
            <w:tcW w:w="135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color w:val="000000"/>
                <w:kern w:val="0"/>
                <w:sz w:val="18"/>
                <w:szCs w:val="18"/>
                <w:lang w:val="en-US" w:eastAsia="zh-CN"/>
              </w:rPr>
              <w:t>0.17799</w:t>
            </w:r>
          </w:p>
        </w:tc>
      </w:tr>
    </w:tbl>
    <w:p>
      <w:pPr>
        <w:pStyle w:val="2"/>
        <w:keepNext w:val="0"/>
        <w:keepLines w:val="0"/>
        <w:pageBreakBefore w:val="0"/>
        <w:widowControl w:val="0"/>
        <w:kinsoku/>
        <w:wordWrap/>
        <w:overflowPunct/>
        <w:topLinePunct w:val="0"/>
        <w:autoSpaceDE/>
        <w:autoSpaceDN/>
        <w:bidi w:val="0"/>
        <w:adjustRightInd/>
        <w:snapToGrid/>
        <w:spacing w:after="0" w:line="240" w:lineRule="auto"/>
        <w:textAlignment w:val="auto"/>
        <w:rPr>
          <w:rFonts w:hint="eastAsia" w:ascii="仿宋" w:hAnsi="仿宋" w:eastAsia="仿宋" w:cs="仿宋"/>
          <w:b w:val="0"/>
          <w:bCs/>
          <w:snapToGrid w:val="0"/>
          <w:color w:val="auto"/>
          <w:spacing w:val="6"/>
          <w:kern w:val="0"/>
          <w:sz w:val="18"/>
          <w:szCs w:val="18"/>
          <w:lang w:val="en-US" w:eastAsia="zh-CN" w:bidi="ar-SA"/>
        </w:rPr>
      </w:pPr>
      <w:bookmarkStart w:id="34" w:name="_Toc30758"/>
    </w:p>
    <w:p>
      <w:pPr>
        <w:keepNext w:val="0"/>
        <w:keepLines w:val="0"/>
        <w:pageBreakBefore w:val="0"/>
        <w:widowControl/>
        <w:numPr>
          <w:ilvl w:val="0"/>
          <w:numId w:val="0"/>
        </w:numPr>
        <w:kinsoku/>
        <w:wordWrap/>
        <w:overflowPunct/>
        <w:topLinePunct w:val="0"/>
        <w:autoSpaceDE w:val="0"/>
        <w:autoSpaceDN w:val="0"/>
        <w:bidi w:val="0"/>
        <w:adjustRightInd w:val="0"/>
        <w:snapToGrid w:val="0"/>
        <w:spacing w:before="149" w:beforeLines="50" w:line="240" w:lineRule="auto"/>
        <w:ind w:left="0" w:leftChars="0" w:firstLine="0" w:firstLineChars="0"/>
        <w:textAlignment w:val="baseline"/>
        <w:outlineLvl w:val="0"/>
        <w:rPr>
          <w:rFonts w:hint="eastAsia" w:ascii="微软雅黑" w:hAnsi="微软雅黑" w:eastAsia="微软雅黑" w:cs="微软雅黑"/>
          <w:b w:val="0"/>
          <w:bCs/>
          <w:color w:val="000000" w:themeColor="text1"/>
          <w:kern w:val="2"/>
          <w:sz w:val="28"/>
          <w:szCs w:val="28"/>
          <w:lang w:val="en-US" w:eastAsia="zh-CN" w:bidi="ar-SA"/>
          <w14:textFill>
            <w14:solidFill>
              <w14:schemeClr w14:val="tx1"/>
            </w14:solidFill>
          </w14:textFill>
        </w:rPr>
      </w:pPr>
      <w:r>
        <w:rPr>
          <w:rFonts w:hint="eastAsia" w:ascii="微软雅黑" w:hAnsi="微软雅黑" w:eastAsia="微软雅黑" w:cs="微软雅黑"/>
          <w:b w:val="0"/>
          <w:bCs/>
          <w:color w:val="000000" w:themeColor="text1"/>
          <w:kern w:val="2"/>
          <w:sz w:val="28"/>
          <w:szCs w:val="28"/>
          <w:lang w:val="en-US" w:eastAsia="zh-CN" w:bidi="ar-SA"/>
          <w14:textFill>
            <w14:solidFill>
              <w14:schemeClr w14:val="tx1"/>
            </w14:solidFill>
          </w14:textFill>
        </w:rPr>
        <w:t>7.5 行业门类</w:t>
      </w:r>
      <w:bookmarkEnd w:id="34"/>
    </w:p>
    <w:p>
      <w:pPr>
        <w:pageBreakBefore w:val="0"/>
        <w:widowControl/>
        <w:kinsoku w:val="0"/>
        <w:wordWrap/>
        <w:topLinePunct w:val="0"/>
        <w:autoSpaceDE w:val="0"/>
        <w:autoSpaceDN w:val="0"/>
        <w:bidi w:val="0"/>
        <w:adjustRightInd w:val="0"/>
        <w:snapToGrid w:val="0"/>
        <w:spacing w:before="149" w:beforeLines="50" w:line="240" w:lineRule="auto"/>
        <w:ind w:firstLine="504" w:firstLineChars="200"/>
        <w:textAlignment w:val="baseline"/>
        <w:rPr>
          <w:rFonts w:hint="eastAsia" w:ascii="仿宋" w:hAnsi="仿宋" w:eastAsia="仿宋" w:cs="仿宋"/>
          <w:b w:val="0"/>
          <w:bCs/>
          <w:snapToGrid w:val="0"/>
          <w:color w:val="000000" w:themeColor="text1"/>
          <w:spacing w:val="6"/>
          <w:kern w:val="0"/>
          <w:sz w:val="24"/>
          <w:szCs w:val="24"/>
          <w14:textFill>
            <w14:solidFill>
              <w14:schemeClr w14:val="tx1"/>
            </w14:solidFill>
          </w14:textFill>
        </w:rPr>
      </w:pPr>
      <w:r>
        <w:rPr>
          <w:rFonts w:hint="eastAsia"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报告年度内</w:t>
      </w:r>
      <w:r>
        <w:rPr>
          <w:rFonts w:hint="eastAsia" w:ascii="仿宋" w:hAnsi="仿宋" w:eastAsia="仿宋" w:cs="仿宋"/>
          <w:b w:val="0"/>
          <w:bCs/>
          <w:snapToGrid w:val="0"/>
          <w:color w:val="000000" w:themeColor="text1"/>
          <w:spacing w:val="6"/>
          <w:kern w:val="0"/>
          <w:sz w:val="24"/>
          <w:szCs w:val="24"/>
          <w14:textFill>
            <w14:solidFill>
              <w14:schemeClr w14:val="tx1"/>
            </w14:solidFill>
          </w14:textFill>
        </w:rPr>
        <w:t>本行投融资活动碳排放按行业门类构成分析，占比前三的行业依次为：</w:t>
      </w:r>
      <w:r>
        <w:rPr>
          <w:rFonts w:hint="eastAsia" w:ascii="仿宋" w:hAnsi="仿宋" w:eastAsia="仿宋" w:cs="仿宋"/>
          <w:b w:val="0"/>
          <w:bCs/>
          <w:snapToGrid w:val="0"/>
          <w:color w:val="000000" w:themeColor="text1"/>
          <w:spacing w:val="6"/>
          <w:kern w:val="0"/>
          <w:sz w:val="24"/>
          <w:szCs w:val="24"/>
          <w:u w:val="single"/>
          <w14:textFill>
            <w14:solidFill>
              <w14:schemeClr w14:val="tx1"/>
            </w14:solidFill>
          </w14:textFill>
        </w:rPr>
        <w:t xml:space="preserve"> </w:t>
      </w:r>
      <w:r>
        <w:rPr>
          <w:rFonts w:hint="eastAsia" w:ascii="仿宋" w:hAnsi="仿宋" w:eastAsia="仿宋" w:cs="仿宋"/>
          <w:snapToGrid w:val="0"/>
          <w:color w:val="000000" w:themeColor="text1"/>
          <w:spacing w:val="6"/>
          <w:kern w:val="0"/>
          <w:sz w:val="24"/>
          <w:szCs w:val="24"/>
          <w:u w:val="single"/>
          <w:lang w:val="en-US" w:eastAsia="zh-CN"/>
          <w14:textFill>
            <w14:solidFill>
              <w14:schemeClr w14:val="tx1"/>
            </w14:solidFill>
          </w14:textFill>
        </w:rPr>
        <w:t>C.制造业</w:t>
      </w:r>
      <w:r>
        <w:rPr>
          <w:rFonts w:hint="eastAsia" w:ascii="仿宋" w:hAnsi="仿宋" w:eastAsia="仿宋" w:cs="仿宋"/>
          <w:b w:val="0"/>
          <w:bCs/>
          <w:color w:val="000000" w:themeColor="text1"/>
          <w:spacing w:val="6"/>
          <w:sz w:val="24"/>
          <w:u w:val="single"/>
          <w14:textFill>
            <w14:solidFill>
              <w14:schemeClr w14:val="tx1"/>
            </w14:solidFill>
          </w14:textFill>
        </w:rPr>
        <w:t xml:space="preserve"> </w:t>
      </w:r>
      <w:r>
        <w:rPr>
          <w:rFonts w:hint="eastAsia" w:ascii="仿宋" w:hAnsi="仿宋" w:eastAsia="仿宋" w:cs="仿宋"/>
          <w:b w:val="0"/>
          <w:bCs/>
          <w:color w:val="000000" w:themeColor="text1"/>
          <w:spacing w:val="6"/>
          <w:sz w:val="24"/>
          <w14:textFill>
            <w14:solidFill>
              <w14:schemeClr w14:val="tx1"/>
            </w14:solidFill>
          </w14:textFill>
        </w:rPr>
        <w:t>行业</w:t>
      </w:r>
      <w:r>
        <w:rPr>
          <w:rFonts w:hint="eastAsia" w:ascii="仿宋" w:hAnsi="仿宋" w:eastAsia="仿宋" w:cs="仿宋"/>
          <w:b w:val="0"/>
          <w:bCs/>
          <w:snapToGrid w:val="0"/>
          <w:color w:val="000000" w:themeColor="text1"/>
          <w:spacing w:val="6"/>
          <w:kern w:val="0"/>
          <w:sz w:val="24"/>
          <w:szCs w:val="24"/>
          <w14:textFill>
            <w14:solidFill>
              <w14:schemeClr w14:val="tx1"/>
            </w14:solidFill>
          </w14:textFill>
        </w:rPr>
        <w:t>产生的碳排放</w:t>
      </w:r>
      <w:r>
        <w:rPr>
          <w:rFonts w:hint="eastAsia" w:ascii="仿宋" w:hAnsi="仿宋" w:eastAsia="仿宋" w:cs="仿宋"/>
          <w:b w:val="0"/>
          <w:bCs/>
          <w:snapToGrid w:val="0"/>
          <w:color w:val="000000" w:themeColor="text1"/>
          <w:spacing w:val="6"/>
          <w:kern w:val="0"/>
          <w:sz w:val="24"/>
          <w:szCs w:val="24"/>
          <w:u w:val="single"/>
          <w14:textFill>
            <w14:solidFill>
              <w14:schemeClr w14:val="tx1"/>
            </w14:solidFill>
          </w14:textFill>
        </w:rPr>
        <w:t xml:space="preserve"> </w:t>
      </w:r>
      <w:r>
        <w:rPr>
          <w:rFonts w:hint="eastAsia" w:ascii="仿宋" w:hAnsi="仿宋" w:eastAsia="仿宋" w:cs="仿宋"/>
          <w:snapToGrid w:val="0"/>
          <w:color w:val="000000" w:themeColor="text1"/>
          <w:spacing w:val="6"/>
          <w:kern w:val="0"/>
          <w:sz w:val="24"/>
          <w:szCs w:val="24"/>
          <w:u w:val="single"/>
          <w:lang w:val="en-US" w:eastAsia="zh-CN"/>
          <w14:textFill>
            <w14:solidFill>
              <w14:schemeClr w14:val="tx1"/>
            </w14:solidFill>
          </w14:textFill>
        </w:rPr>
        <w:t>340512.12</w:t>
      </w:r>
      <w:r>
        <w:rPr>
          <w:rFonts w:hint="eastAsia" w:ascii="仿宋" w:hAnsi="仿宋" w:eastAsia="仿宋" w:cs="仿宋"/>
          <w:b w:val="0"/>
          <w:bCs/>
          <w:color w:val="000000" w:themeColor="text1"/>
          <w:spacing w:val="6"/>
          <w:sz w:val="24"/>
          <w:u w:val="single"/>
          <w14:textFill>
            <w14:solidFill>
              <w14:schemeClr w14:val="tx1"/>
            </w14:solidFill>
          </w14:textFill>
        </w:rPr>
        <w:t xml:space="preserve"> </w:t>
      </w:r>
      <w:r>
        <w:rPr>
          <w:rFonts w:hint="eastAsia" w:ascii="仿宋" w:hAnsi="仿宋" w:eastAsia="仿宋" w:cs="仿宋"/>
          <w:b w:val="0"/>
          <w:bCs/>
          <w:snapToGrid w:val="0"/>
          <w:color w:val="000000" w:themeColor="text1"/>
          <w:spacing w:val="6"/>
          <w:kern w:val="0"/>
          <w:sz w:val="24"/>
          <w:szCs w:val="24"/>
          <w14:textFill>
            <w14:solidFill>
              <w14:schemeClr w14:val="tx1"/>
            </w14:solidFill>
          </w14:textFill>
        </w:rPr>
        <w:t>tCO</w:t>
      </w:r>
      <w:r>
        <w:rPr>
          <w:rFonts w:hint="eastAsia" w:ascii="仿宋" w:hAnsi="仿宋" w:eastAsia="仿宋" w:cs="仿宋"/>
          <w:b w:val="0"/>
          <w:bCs/>
          <w:snapToGrid w:val="0"/>
          <w:color w:val="000000" w:themeColor="text1"/>
          <w:spacing w:val="6"/>
          <w:kern w:val="0"/>
          <w:sz w:val="24"/>
          <w:szCs w:val="24"/>
          <w:vertAlign w:val="subscript"/>
          <w14:textFill>
            <w14:solidFill>
              <w14:schemeClr w14:val="tx1"/>
            </w14:solidFill>
          </w14:textFill>
        </w:rPr>
        <w:t>2</w:t>
      </w:r>
      <w:r>
        <w:rPr>
          <w:rFonts w:hint="eastAsia" w:ascii="仿宋" w:hAnsi="仿宋" w:eastAsia="仿宋" w:cs="仿宋"/>
          <w:b w:val="0"/>
          <w:bCs/>
          <w:snapToGrid w:val="0"/>
          <w:color w:val="000000" w:themeColor="text1"/>
          <w:spacing w:val="6"/>
          <w:kern w:val="0"/>
          <w:sz w:val="24"/>
          <w:szCs w:val="24"/>
          <w14:textFill>
            <w14:solidFill>
              <w14:schemeClr w14:val="tx1"/>
            </w14:solidFill>
          </w14:textFill>
        </w:rPr>
        <w:t>e，</w:t>
      </w:r>
      <w:r>
        <w:rPr>
          <w:rFonts w:hint="eastAsia" w:ascii="仿宋" w:hAnsi="仿宋" w:eastAsia="仿宋" w:cs="仿宋"/>
          <w:b w:val="0"/>
          <w:bCs/>
          <w:snapToGrid w:val="0"/>
          <w:color w:val="000000" w:themeColor="text1"/>
          <w:spacing w:val="6"/>
          <w:kern w:val="0"/>
          <w:sz w:val="24"/>
          <w:szCs w:val="24"/>
          <w:u w:val="single"/>
          <w14:textFill>
            <w14:solidFill>
              <w14:schemeClr w14:val="tx1"/>
            </w14:solidFill>
          </w14:textFill>
        </w:rPr>
        <w:t xml:space="preserve"> </w:t>
      </w:r>
      <w:r>
        <w:rPr>
          <w:rFonts w:hint="eastAsia" w:ascii="仿宋" w:hAnsi="仿宋" w:eastAsia="仿宋" w:cs="仿宋"/>
          <w:snapToGrid w:val="0"/>
          <w:color w:val="000000" w:themeColor="text1"/>
          <w:spacing w:val="6"/>
          <w:kern w:val="0"/>
          <w:sz w:val="24"/>
          <w:szCs w:val="24"/>
          <w:u w:val="single"/>
          <w:lang w:val="en-US" w:eastAsia="zh-CN"/>
          <w14:textFill>
            <w14:solidFill>
              <w14:schemeClr w14:val="tx1"/>
            </w14:solidFill>
          </w14:textFill>
        </w:rPr>
        <w:t>K.房地产业</w:t>
      </w:r>
      <w:r>
        <w:rPr>
          <w:rFonts w:hint="eastAsia" w:ascii="仿宋" w:hAnsi="仿宋" w:eastAsia="仿宋" w:cs="仿宋"/>
          <w:b w:val="0"/>
          <w:bCs/>
          <w:color w:val="000000" w:themeColor="text1"/>
          <w:spacing w:val="6"/>
          <w:sz w:val="24"/>
          <w:u w:val="single"/>
          <w14:textFill>
            <w14:solidFill>
              <w14:schemeClr w14:val="tx1"/>
            </w14:solidFill>
          </w14:textFill>
        </w:rPr>
        <w:t xml:space="preserve"> </w:t>
      </w:r>
      <w:r>
        <w:rPr>
          <w:rFonts w:hint="eastAsia" w:ascii="仿宋" w:hAnsi="仿宋" w:eastAsia="仿宋" w:cs="仿宋"/>
          <w:b w:val="0"/>
          <w:bCs/>
          <w:color w:val="000000" w:themeColor="text1"/>
          <w:spacing w:val="6"/>
          <w:sz w:val="24"/>
          <w14:textFill>
            <w14:solidFill>
              <w14:schemeClr w14:val="tx1"/>
            </w14:solidFill>
          </w14:textFill>
        </w:rPr>
        <w:t>行业</w:t>
      </w:r>
      <w:r>
        <w:rPr>
          <w:rFonts w:hint="eastAsia" w:ascii="仿宋" w:hAnsi="仿宋" w:eastAsia="仿宋" w:cs="仿宋"/>
          <w:b w:val="0"/>
          <w:bCs/>
          <w:snapToGrid w:val="0"/>
          <w:color w:val="000000" w:themeColor="text1"/>
          <w:spacing w:val="6"/>
          <w:kern w:val="0"/>
          <w:sz w:val="24"/>
          <w:szCs w:val="24"/>
          <w14:textFill>
            <w14:solidFill>
              <w14:schemeClr w14:val="tx1"/>
            </w14:solidFill>
          </w14:textFill>
        </w:rPr>
        <w:t>产生的碳排放</w:t>
      </w:r>
      <w:r>
        <w:rPr>
          <w:rFonts w:hint="eastAsia" w:ascii="仿宋" w:hAnsi="仿宋" w:eastAsia="仿宋" w:cs="仿宋"/>
          <w:b w:val="0"/>
          <w:bCs/>
          <w:snapToGrid w:val="0"/>
          <w:color w:val="000000" w:themeColor="text1"/>
          <w:spacing w:val="6"/>
          <w:kern w:val="0"/>
          <w:sz w:val="24"/>
          <w:szCs w:val="24"/>
          <w:u w:val="single"/>
          <w14:textFill>
            <w14:solidFill>
              <w14:schemeClr w14:val="tx1"/>
            </w14:solidFill>
          </w14:textFill>
        </w:rPr>
        <w:t xml:space="preserve"> </w:t>
      </w:r>
      <w:r>
        <w:rPr>
          <w:rFonts w:hint="eastAsia" w:ascii="仿宋" w:hAnsi="仿宋" w:eastAsia="仿宋" w:cs="仿宋"/>
          <w:snapToGrid w:val="0"/>
          <w:color w:val="000000" w:themeColor="text1"/>
          <w:spacing w:val="6"/>
          <w:kern w:val="0"/>
          <w:sz w:val="24"/>
          <w:szCs w:val="24"/>
          <w:u w:val="single"/>
          <w:lang w:val="en-US" w:eastAsia="zh-CN"/>
          <w14:textFill>
            <w14:solidFill>
              <w14:schemeClr w14:val="tx1"/>
            </w14:solidFill>
          </w14:textFill>
        </w:rPr>
        <w:t>12270.79</w:t>
      </w:r>
      <w:r>
        <w:rPr>
          <w:rFonts w:hint="eastAsia" w:ascii="仿宋" w:hAnsi="仿宋" w:eastAsia="仿宋" w:cs="仿宋"/>
          <w:b w:val="0"/>
          <w:bCs/>
          <w:color w:val="000000" w:themeColor="text1"/>
          <w:spacing w:val="6"/>
          <w:sz w:val="24"/>
          <w:u w:val="single"/>
          <w14:textFill>
            <w14:solidFill>
              <w14:schemeClr w14:val="tx1"/>
            </w14:solidFill>
          </w14:textFill>
        </w:rPr>
        <w:t xml:space="preserve"> </w:t>
      </w:r>
      <w:r>
        <w:rPr>
          <w:rFonts w:hint="eastAsia" w:ascii="仿宋" w:hAnsi="仿宋" w:eastAsia="仿宋" w:cs="仿宋"/>
          <w:b w:val="0"/>
          <w:bCs/>
          <w:snapToGrid w:val="0"/>
          <w:color w:val="000000" w:themeColor="text1"/>
          <w:spacing w:val="6"/>
          <w:kern w:val="0"/>
          <w:sz w:val="24"/>
          <w:szCs w:val="24"/>
          <w14:textFill>
            <w14:solidFill>
              <w14:schemeClr w14:val="tx1"/>
            </w14:solidFill>
          </w14:textFill>
        </w:rPr>
        <w:t>tCO</w:t>
      </w:r>
      <w:r>
        <w:rPr>
          <w:rFonts w:hint="eastAsia" w:ascii="仿宋" w:hAnsi="仿宋" w:eastAsia="仿宋" w:cs="仿宋"/>
          <w:b w:val="0"/>
          <w:bCs/>
          <w:snapToGrid w:val="0"/>
          <w:color w:val="000000" w:themeColor="text1"/>
          <w:spacing w:val="6"/>
          <w:kern w:val="0"/>
          <w:sz w:val="24"/>
          <w:szCs w:val="24"/>
          <w:vertAlign w:val="subscript"/>
          <w14:textFill>
            <w14:solidFill>
              <w14:schemeClr w14:val="tx1"/>
            </w14:solidFill>
          </w14:textFill>
        </w:rPr>
        <w:t>2</w:t>
      </w:r>
      <w:r>
        <w:rPr>
          <w:rFonts w:hint="eastAsia" w:ascii="仿宋" w:hAnsi="仿宋" w:eastAsia="仿宋" w:cs="仿宋"/>
          <w:b w:val="0"/>
          <w:bCs/>
          <w:snapToGrid w:val="0"/>
          <w:color w:val="000000" w:themeColor="text1"/>
          <w:spacing w:val="6"/>
          <w:kern w:val="0"/>
          <w:sz w:val="24"/>
          <w:szCs w:val="24"/>
          <w14:textFill>
            <w14:solidFill>
              <w14:schemeClr w14:val="tx1"/>
            </w14:solidFill>
          </w14:textFill>
        </w:rPr>
        <w:t>e，</w:t>
      </w:r>
      <w:r>
        <w:rPr>
          <w:rFonts w:hint="eastAsia" w:ascii="仿宋" w:hAnsi="仿宋" w:eastAsia="仿宋" w:cs="仿宋"/>
          <w:b w:val="0"/>
          <w:bCs/>
          <w:snapToGrid w:val="0"/>
          <w:color w:val="000000" w:themeColor="text1"/>
          <w:spacing w:val="6"/>
          <w:kern w:val="0"/>
          <w:sz w:val="24"/>
          <w:szCs w:val="24"/>
          <w:u w:val="single"/>
          <w14:textFill>
            <w14:solidFill>
              <w14:schemeClr w14:val="tx1"/>
            </w14:solidFill>
          </w14:textFill>
        </w:rPr>
        <w:t xml:space="preserve"> </w:t>
      </w:r>
      <w:r>
        <w:rPr>
          <w:rFonts w:hint="eastAsia" w:ascii="仿宋" w:hAnsi="仿宋" w:eastAsia="仿宋" w:cs="仿宋"/>
          <w:snapToGrid w:val="0"/>
          <w:color w:val="000000" w:themeColor="text1"/>
          <w:spacing w:val="6"/>
          <w:kern w:val="0"/>
          <w:sz w:val="24"/>
          <w:szCs w:val="24"/>
          <w:u w:val="single"/>
          <w:lang w:val="en-US" w:eastAsia="zh-CN"/>
          <w14:textFill>
            <w14:solidFill>
              <w14:schemeClr w14:val="tx1"/>
            </w14:solidFill>
          </w14:textFill>
        </w:rPr>
        <w:t>E.建筑业</w:t>
      </w:r>
      <w:r>
        <w:rPr>
          <w:rFonts w:hint="eastAsia" w:ascii="仿宋" w:hAnsi="仿宋" w:eastAsia="仿宋" w:cs="仿宋"/>
          <w:b w:val="0"/>
          <w:bCs/>
          <w:color w:val="000000" w:themeColor="text1"/>
          <w:spacing w:val="6"/>
          <w:sz w:val="24"/>
          <w:u w:val="single"/>
          <w14:textFill>
            <w14:solidFill>
              <w14:schemeClr w14:val="tx1"/>
            </w14:solidFill>
          </w14:textFill>
        </w:rPr>
        <w:t xml:space="preserve"> </w:t>
      </w:r>
      <w:r>
        <w:rPr>
          <w:rFonts w:hint="eastAsia" w:ascii="仿宋" w:hAnsi="仿宋" w:eastAsia="仿宋" w:cs="仿宋"/>
          <w:b w:val="0"/>
          <w:bCs/>
          <w:color w:val="000000" w:themeColor="text1"/>
          <w:spacing w:val="6"/>
          <w:sz w:val="24"/>
          <w14:textFill>
            <w14:solidFill>
              <w14:schemeClr w14:val="tx1"/>
            </w14:solidFill>
          </w14:textFill>
        </w:rPr>
        <w:t>行业</w:t>
      </w:r>
      <w:r>
        <w:rPr>
          <w:rFonts w:hint="eastAsia" w:ascii="仿宋" w:hAnsi="仿宋" w:eastAsia="仿宋" w:cs="仿宋"/>
          <w:b w:val="0"/>
          <w:bCs/>
          <w:snapToGrid w:val="0"/>
          <w:color w:val="000000" w:themeColor="text1"/>
          <w:spacing w:val="6"/>
          <w:kern w:val="0"/>
          <w:sz w:val="24"/>
          <w:szCs w:val="24"/>
          <w14:textFill>
            <w14:solidFill>
              <w14:schemeClr w14:val="tx1"/>
            </w14:solidFill>
          </w14:textFill>
        </w:rPr>
        <w:t>产生的碳排放</w:t>
      </w:r>
      <w:r>
        <w:rPr>
          <w:rFonts w:hint="eastAsia" w:ascii="仿宋" w:hAnsi="仿宋" w:eastAsia="仿宋" w:cs="仿宋"/>
          <w:b w:val="0"/>
          <w:bCs/>
          <w:snapToGrid w:val="0"/>
          <w:color w:val="000000" w:themeColor="text1"/>
          <w:spacing w:val="6"/>
          <w:kern w:val="0"/>
          <w:sz w:val="24"/>
          <w:szCs w:val="24"/>
          <w:u w:val="single"/>
          <w14:textFill>
            <w14:solidFill>
              <w14:schemeClr w14:val="tx1"/>
            </w14:solidFill>
          </w14:textFill>
        </w:rPr>
        <w:t xml:space="preserve"> </w:t>
      </w:r>
      <w:r>
        <w:rPr>
          <w:rFonts w:hint="eastAsia" w:ascii="仿宋" w:hAnsi="仿宋" w:eastAsia="仿宋" w:cs="仿宋"/>
          <w:snapToGrid w:val="0"/>
          <w:color w:val="000000" w:themeColor="text1"/>
          <w:spacing w:val="6"/>
          <w:kern w:val="0"/>
          <w:sz w:val="24"/>
          <w:szCs w:val="24"/>
          <w:u w:val="single"/>
          <w:lang w:val="en-US" w:eastAsia="zh-CN"/>
          <w14:textFill>
            <w14:solidFill>
              <w14:schemeClr w14:val="tx1"/>
            </w14:solidFill>
          </w14:textFill>
        </w:rPr>
        <w:t>9338.30</w:t>
      </w:r>
      <w:r>
        <w:rPr>
          <w:rFonts w:hint="eastAsia" w:ascii="仿宋" w:hAnsi="仿宋" w:eastAsia="仿宋" w:cs="仿宋"/>
          <w:b w:val="0"/>
          <w:bCs/>
          <w:color w:val="000000" w:themeColor="text1"/>
          <w:spacing w:val="6"/>
          <w:sz w:val="24"/>
          <w:u w:val="single"/>
          <w14:textFill>
            <w14:solidFill>
              <w14:schemeClr w14:val="tx1"/>
            </w14:solidFill>
          </w14:textFill>
        </w:rPr>
        <w:t xml:space="preserve"> </w:t>
      </w:r>
      <w:r>
        <w:rPr>
          <w:rFonts w:hint="eastAsia" w:ascii="仿宋" w:hAnsi="仿宋" w:eastAsia="仿宋" w:cs="仿宋"/>
          <w:b w:val="0"/>
          <w:bCs/>
          <w:snapToGrid w:val="0"/>
          <w:color w:val="000000" w:themeColor="text1"/>
          <w:spacing w:val="6"/>
          <w:kern w:val="0"/>
          <w:sz w:val="24"/>
          <w:szCs w:val="24"/>
          <w14:textFill>
            <w14:solidFill>
              <w14:schemeClr w14:val="tx1"/>
            </w14:solidFill>
          </w14:textFill>
        </w:rPr>
        <w:t>tCO</w:t>
      </w:r>
      <w:r>
        <w:rPr>
          <w:rFonts w:hint="eastAsia" w:ascii="仿宋" w:hAnsi="仿宋" w:eastAsia="仿宋" w:cs="仿宋"/>
          <w:b w:val="0"/>
          <w:bCs/>
          <w:snapToGrid w:val="0"/>
          <w:color w:val="000000" w:themeColor="text1"/>
          <w:spacing w:val="6"/>
          <w:kern w:val="0"/>
          <w:sz w:val="24"/>
          <w:szCs w:val="24"/>
          <w:vertAlign w:val="subscript"/>
          <w14:textFill>
            <w14:solidFill>
              <w14:schemeClr w14:val="tx1"/>
            </w14:solidFill>
          </w14:textFill>
        </w:rPr>
        <w:t>2</w:t>
      </w:r>
      <w:r>
        <w:rPr>
          <w:rFonts w:hint="eastAsia" w:ascii="仿宋" w:hAnsi="仿宋" w:eastAsia="仿宋" w:cs="仿宋"/>
          <w:b w:val="0"/>
          <w:bCs/>
          <w:snapToGrid w:val="0"/>
          <w:color w:val="000000" w:themeColor="text1"/>
          <w:spacing w:val="6"/>
          <w:kern w:val="0"/>
          <w:sz w:val="24"/>
          <w:szCs w:val="24"/>
          <w14:textFill>
            <w14:solidFill>
              <w14:schemeClr w14:val="tx1"/>
            </w14:solidFill>
          </w14:textFill>
        </w:rPr>
        <w:t>e。</w:t>
      </w:r>
    </w:p>
    <w:p>
      <w:pPr>
        <w:widowControl/>
        <w:spacing w:line="240" w:lineRule="auto"/>
        <w:ind w:firstLine="0" w:firstLineChars="0"/>
        <w:jc w:val="center"/>
        <w:rPr>
          <w:rFonts w:hint="eastAsia" w:ascii="宋体" w:hAnsi="宋体" w:eastAsia="宋体" w:cs="宋体"/>
          <w:b w:val="0"/>
          <w:bCs/>
          <w:color w:val="0070C0"/>
          <w:kern w:val="0"/>
          <w:sz w:val="18"/>
          <w:szCs w:val="18"/>
          <w:lang w:val="en-US" w:eastAsia="zh-CN"/>
        </w:rPr>
      </w:pPr>
      <w:r>
        <w:rPr>
          <w:rFonts w:hint="eastAsia" w:ascii="宋体" w:hAnsi="宋体" w:eastAsia="宋体" w:cs="宋体"/>
          <w:b w:val="0"/>
          <w:bCs/>
          <w:color w:val="0070C0"/>
          <w:kern w:val="0"/>
          <w:sz w:val="18"/>
          <w:szCs w:val="18"/>
          <w:lang w:val="en-US" w:eastAsia="zh-CN"/>
        </w:rPr>
        <w:t>7-5投融资（行业门类）碳排放</w:t>
      </w:r>
    </w:p>
    <w:tbl>
      <w:tblPr>
        <w:tblStyle w:val="21"/>
        <w:tblW w:w="10098" w:type="dxa"/>
        <w:jc w:val="center"/>
        <w:tblLayout w:type="fixed"/>
        <w:tblCellMar>
          <w:top w:w="0" w:type="dxa"/>
          <w:left w:w="108" w:type="dxa"/>
          <w:bottom w:w="0" w:type="dxa"/>
          <w:right w:w="108" w:type="dxa"/>
        </w:tblCellMar>
      </w:tblPr>
      <w:tblGrid>
        <w:gridCol w:w="3179"/>
        <w:gridCol w:w="1214"/>
        <w:gridCol w:w="1155"/>
        <w:gridCol w:w="1102"/>
        <w:gridCol w:w="1129"/>
        <w:gridCol w:w="1124"/>
        <w:gridCol w:w="1195"/>
      </w:tblGrid>
      <w:tr>
        <w:tblPrEx>
          <w:tblCellMar>
            <w:top w:w="0" w:type="dxa"/>
            <w:left w:w="108" w:type="dxa"/>
            <w:bottom w:w="0" w:type="dxa"/>
            <w:right w:w="108" w:type="dxa"/>
          </w:tblCellMar>
        </w:tblPrEx>
        <w:trPr>
          <w:trHeight w:val="1225" w:hRule="atLeast"/>
          <w:tblHeader/>
          <w:jc w:val="center"/>
        </w:trPr>
        <w:tc>
          <w:tcPr>
            <w:tcW w:w="3179"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bCs w:val="0"/>
                <w:color w:val="000000" w:themeColor="text1"/>
                <w:kern w:val="0"/>
                <w:sz w:val="18"/>
                <w:szCs w:val="18"/>
                <w14:textFill>
                  <w14:solidFill>
                    <w14:schemeClr w14:val="tx1"/>
                  </w14:solidFill>
                </w14:textFill>
              </w:rPr>
            </w:pPr>
            <w:r>
              <w:rPr>
                <w:rFonts w:hint="eastAsia" w:ascii="宋体" w:hAnsi="宋体" w:eastAsia="宋体" w:cs="宋体"/>
                <w:b/>
                <w:bCs w:val="0"/>
                <w:color w:val="000000" w:themeColor="text1"/>
                <w:kern w:val="0"/>
                <w:sz w:val="18"/>
                <w:szCs w:val="18"/>
                <w14:textFill>
                  <w14:solidFill>
                    <w14:schemeClr w14:val="tx1"/>
                  </w14:solidFill>
                </w14:textFill>
              </w:rPr>
              <w:t>行业门类</w:t>
            </w:r>
          </w:p>
        </w:tc>
        <w:tc>
          <w:tcPr>
            <w:tcW w:w="2369"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bCs w:val="0"/>
                <w:color w:val="000000" w:themeColor="text1"/>
                <w:kern w:val="0"/>
                <w:sz w:val="18"/>
                <w:szCs w:val="18"/>
                <w14:textFill>
                  <w14:solidFill>
                    <w14:schemeClr w14:val="tx1"/>
                  </w14:solidFill>
                </w14:textFill>
              </w:rPr>
            </w:pPr>
            <w:r>
              <w:rPr>
                <w:rFonts w:hint="eastAsia" w:ascii="宋体" w:hAnsi="宋体" w:eastAsia="宋体" w:cs="宋体"/>
                <w:b/>
                <w:bCs w:val="0"/>
                <w:color w:val="000000" w:themeColor="text1"/>
                <w:kern w:val="0"/>
                <w:sz w:val="18"/>
                <w:szCs w:val="18"/>
                <w14:textFill>
                  <w14:solidFill>
                    <w14:schemeClr w14:val="tx1"/>
                  </w14:solidFill>
                </w14:textFill>
              </w:rPr>
              <w:t>贷款月均融资余额及债券投资账面价值总和（万元）</w:t>
            </w:r>
          </w:p>
        </w:tc>
        <w:tc>
          <w:tcPr>
            <w:tcW w:w="2231"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bCs w:val="0"/>
                <w:color w:val="000000" w:themeColor="text1"/>
                <w:kern w:val="0"/>
                <w:sz w:val="18"/>
                <w:szCs w:val="18"/>
                <w14:textFill>
                  <w14:solidFill>
                    <w14:schemeClr w14:val="tx1"/>
                  </w14:solidFill>
                </w14:textFill>
              </w:rPr>
            </w:pPr>
            <w:r>
              <w:rPr>
                <w:rFonts w:hint="eastAsia" w:ascii="宋体" w:hAnsi="宋体" w:eastAsia="宋体" w:cs="宋体"/>
                <w:b/>
                <w:bCs w:val="0"/>
                <w:color w:val="000000" w:themeColor="text1"/>
                <w:kern w:val="0"/>
                <w:sz w:val="18"/>
                <w:szCs w:val="18"/>
                <w14:textFill>
                  <w14:solidFill>
                    <w14:schemeClr w14:val="tx1"/>
                  </w14:solidFill>
                </w14:textFill>
              </w:rPr>
              <w:t>贷款及债券投资碳排放量（</w:t>
            </w:r>
            <w:r>
              <w:rPr>
                <w:rFonts w:hint="default" w:ascii="宋体" w:hAnsi="宋体" w:eastAsia="宋体" w:cs="宋体"/>
                <w:b/>
                <w:bCs w:val="0"/>
                <w:color w:val="000000" w:themeColor="text1"/>
                <w:kern w:val="0"/>
                <w:sz w:val="18"/>
                <w:szCs w:val="18"/>
                <w:lang w:val="en-US"/>
                <w14:textFill>
                  <w14:solidFill>
                    <w14:schemeClr w14:val="tx1"/>
                  </w14:solidFill>
                </w14:textFill>
              </w:rPr>
              <w:t>tCO2e</w:t>
            </w:r>
            <w:r>
              <w:rPr>
                <w:rFonts w:hint="eastAsia" w:ascii="宋体" w:hAnsi="宋体" w:eastAsia="宋体" w:cs="宋体"/>
                <w:b/>
                <w:bCs w:val="0"/>
                <w:color w:val="000000" w:themeColor="text1"/>
                <w:kern w:val="0"/>
                <w:sz w:val="18"/>
                <w:szCs w:val="18"/>
                <w14:textFill>
                  <w14:solidFill>
                    <w14:schemeClr w14:val="tx1"/>
                  </w14:solidFill>
                </w14:textFill>
              </w:rPr>
              <w:t>）</w:t>
            </w:r>
          </w:p>
        </w:tc>
        <w:tc>
          <w:tcPr>
            <w:tcW w:w="2319"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bCs w:val="0"/>
                <w:color w:val="000000" w:themeColor="text1"/>
                <w:kern w:val="0"/>
                <w:sz w:val="18"/>
                <w:szCs w:val="18"/>
                <w14:textFill>
                  <w14:solidFill>
                    <w14:schemeClr w14:val="tx1"/>
                  </w14:solidFill>
                </w14:textFill>
              </w:rPr>
            </w:pPr>
            <w:r>
              <w:rPr>
                <w:rFonts w:hint="eastAsia" w:ascii="宋体" w:hAnsi="宋体" w:eastAsia="宋体" w:cs="宋体"/>
                <w:b/>
                <w:bCs w:val="0"/>
                <w:color w:val="000000" w:themeColor="text1"/>
                <w:kern w:val="0"/>
                <w:sz w:val="18"/>
                <w:szCs w:val="18"/>
                <w14:textFill>
                  <w14:solidFill>
                    <w14:schemeClr w14:val="tx1"/>
                  </w14:solidFill>
                </w14:textFill>
              </w:rPr>
              <w:t>碳排放强度</w:t>
            </w:r>
          </w:p>
          <w:p>
            <w:pPr>
              <w:widowControl/>
              <w:spacing w:line="240" w:lineRule="auto"/>
              <w:ind w:firstLine="0" w:firstLineChars="0"/>
              <w:jc w:val="center"/>
              <w:rPr>
                <w:rFonts w:hint="eastAsia" w:ascii="宋体" w:hAnsi="宋体" w:eastAsia="宋体" w:cs="宋体"/>
                <w:b/>
                <w:bCs w:val="0"/>
                <w:color w:val="000000" w:themeColor="text1"/>
                <w:kern w:val="0"/>
                <w:sz w:val="18"/>
                <w:szCs w:val="18"/>
                <w14:textFill>
                  <w14:solidFill>
                    <w14:schemeClr w14:val="tx1"/>
                  </w14:solidFill>
                </w14:textFill>
              </w:rPr>
            </w:pPr>
            <w:r>
              <w:rPr>
                <w:rFonts w:hint="eastAsia" w:ascii="宋体" w:hAnsi="宋体" w:eastAsia="宋体" w:cs="宋体"/>
                <w:b/>
                <w:bCs w:val="0"/>
                <w:color w:val="000000" w:themeColor="text1"/>
                <w:kern w:val="0"/>
                <w:sz w:val="18"/>
                <w:szCs w:val="18"/>
                <w14:textFill>
                  <w14:solidFill>
                    <w14:schemeClr w14:val="tx1"/>
                  </w14:solidFill>
                </w14:textFill>
              </w:rPr>
              <w:t>（</w:t>
            </w:r>
            <w:r>
              <w:rPr>
                <w:rFonts w:hint="default" w:ascii="宋体" w:hAnsi="宋体" w:eastAsia="宋体" w:cs="宋体"/>
                <w:b/>
                <w:bCs w:val="0"/>
                <w:color w:val="000000" w:themeColor="text1"/>
                <w:kern w:val="0"/>
                <w:sz w:val="18"/>
                <w:szCs w:val="18"/>
                <w:lang w:val="en-US"/>
                <w14:textFill>
                  <w14:solidFill>
                    <w14:schemeClr w14:val="tx1"/>
                  </w14:solidFill>
                </w14:textFill>
              </w:rPr>
              <w:t>tCO2e</w:t>
            </w:r>
            <w:r>
              <w:rPr>
                <w:rFonts w:hint="eastAsia" w:ascii="宋体" w:hAnsi="宋体" w:eastAsia="宋体" w:cs="宋体"/>
                <w:b/>
                <w:bCs w:val="0"/>
                <w:color w:val="000000" w:themeColor="text1"/>
                <w:kern w:val="0"/>
                <w:sz w:val="18"/>
                <w:szCs w:val="18"/>
                <w14:textFill>
                  <w14:solidFill>
                    <w14:schemeClr w14:val="tx1"/>
                  </w14:solidFill>
                </w14:textFill>
              </w:rPr>
              <w:t>/万元）</w:t>
            </w:r>
          </w:p>
        </w:tc>
      </w:tr>
      <w:tr>
        <w:tblPrEx>
          <w:tblCellMar>
            <w:top w:w="0" w:type="dxa"/>
            <w:left w:w="108" w:type="dxa"/>
            <w:bottom w:w="0" w:type="dxa"/>
            <w:right w:w="108" w:type="dxa"/>
          </w:tblCellMar>
        </w:tblPrEx>
        <w:trPr>
          <w:trHeight w:val="833" w:hRule="atLeast"/>
          <w:tblHeader/>
          <w:jc w:val="center"/>
        </w:trPr>
        <w:tc>
          <w:tcPr>
            <w:tcW w:w="3179"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firstLine="0" w:firstLineChars="0"/>
              <w:jc w:val="center"/>
              <w:rPr>
                <w:rFonts w:hint="eastAsia" w:ascii="宋体" w:hAnsi="宋体" w:eastAsia="宋体" w:cs="宋体"/>
                <w:b/>
                <w:bCs w:val="0"/>
                <w:color w:val="000000" w:themeColor="text1"/>
                <w:kern w:val="0"/>
                <w:sz w:val="18"/>
                <w:szCs w:val="18"/>
                <w14:textFill>
                  <w14:solidFill>
                    <w14:schemeClr w14:val="tx1"/>
                  </w14:solidFill>
                </w14:textFill>
              </w:rPr>
            </w:pPr>
          </w:p>
        </w:tc>
        <w:tc>
          <w:tcPr>
            <w:tcW w:w="121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firstLine="0" w:firstLineChars="0"/>
              <w:jc w:val="center"/>
              <w:rPr>
                <w:rFonts w:hint="eastAsia" w:ascii="宋体" w:hAnsi="宋体" w:eastAsia="宋体" w:cs="宋体"/>
                <w:b/>
                <w:bCs w:val="0"/>
                <w:color w:val="000000" w:themeColor="text1"/>
                <w:kern w:val="0"/>
                <w:sz w:val="22"/>
                <w14:textFill>
                  <w14:solidFill>
                    <w14:schemeClr w14:val="tx1"/>
                  </w14:solidFill>
                </w14:textFill>
              </w:rPr>
            </w:pPr>
            <w:r>
              <w:rPr>
                <w:rFonts w:hint="eastAsia" w:ascii="宋体" w:hAnsi="宋体" w:eastAsia="宋体" w:cs="宋体"/>
                <w:b/>
                <w:bCs w:val="0"/>
                <w:color w:val="000000"/>
                <w:kern w:val="0"/>
                <w:sz w:val="18"/>
                <w:szCs w:val="18"/>
                <w:lang w:val="en-US" w:eastAsia="zh-CN"/>
              </w:rPr>
              <w:t>2025</w:t>
            </w:r>
            <w:r>
              <w:rPr>
                <w:rFonts w:hint="eastAsia" w:ascii="宋体" w:hAnsi="宋体" w:eastAsia="宋体" w:cs="宋体"/>
                <w:b/>
                <w:bCs w:val="0"/>
                <w:color w:val="000000"/>
                <w:kern w:val="0"/>
                <w:sz w:val="22"/>
              </w:rPr>
              <w:t>年</w:t>
            </w:r>
          </w:p>
        </w:tc>
        <w:tc>
          <w:tcPr>
            <w:tcW w:w="11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firstLine="0" w:firstLineChars="0"/>
              <w:jc w:val="center"/>
              <w:rPr>
                <w:rFonts w:hint="eastAsia" w:ascii="宋体" w:hAnsi="宋体" w:eastAsia="宋体" w:cs="宋体"/>
                <w:b/>
                <w:bCs w:val="0"/>
                <w:color w:val="000000" w:themeColor="text1"/>
                <w:kern w:val="0"/>
                <w:sz w:val="22"/>
                <w14:textFill>
                  <w14:solidFill>
                    <w14:schemeClr w14:val="tx1"/>
                  </w14:solidFill>
                </w14:textFill>
              </w:rPr>
            </w:pPr>
            <w:r>
              <w:rPr>
                <w:rFonts w:hint="eastAsia" w:ascii="宋体" w:hAnsi="宋体" w:eastAsia="宋体" w:cs="宋体"/>
                <w:b/>
                <w:bCs w:val="0"/>
                <w:color w:val="000000"/>
                <w:kern w:val="0"/>
                <w:sz w:val="18"/>
                <w:szCs w:val="18"/>
                <w:lang w:val="en-US" w:eastAsia="zh-CN"/>
              </w:rPr>
              <w:t>2024</w:t>
            </w:r>
            <w:r>
              <w:rPr>
                <w:rFonts w:hint="eastAsia" w:ascii="宋体" w:hAnsi="宋体" w:eastAsia="宋体" w:cs="宋体"/>
                <w:b/>
                <w:bCs w:val="0"/>
                <w:color w:val="000000"/>
                <w:kern w:val="0"/>
                <w:sz w:val="22"/>
              </w:rPr>
              <w:t>年</w:t>
            </w:r>
          </w:p>
        </w:tc>
        <w:tc>
          <w:tcPr>
            <w:tcW w:w="110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firstLine="0" w:firstLineChars="0"/>
              <w:jc w:val="center"/>
              <w:rPr>
                <w:rFonts w:hint="eastAsia" w:ascii="宋体" w:hAnsi="宋体" w:eastAsia="宋体" w:cs="宋体"/>
                <w:b/>
                <w:bCs w:val="0"/>
                <w:color w:val="000000" w:themeColor="text1"/>
                <w:kern w:val="0"/>
                <w:sz w:val="22"/>
                <w14:textFill>
                  <w14:solidFill>
                    <w14:schemeClr w14:val="tx1"/>
                  </w14:solidFill>
                </w14:textFill>
              </w:rPr>
            </w:pPr>
            <w:r>
              <w:rPr>
                <w:rFonts w:hint="eastAsia" w:ascii="宋体" w:hAnsi="宋体" w:eastAsia="宋体" w:cs="宋体"/>
                <w:b/>
                <w:bCs w:val="0"/>
                <w:color w:val="000000"/>
                <w:kern w:val="0"/>
                <w:sz w:val="18"/>
                <w:szCs w:val="18"/>
                <w:lang w:val="en-US" w:eastAsia="zh-CN"/>
              </w:rPr>
              <w:t>2025</w:t>
            </w:r>
            <w:r>
              <w:rPr>
                <w:rFonts w:hint="eastAsia" w:ascii="宋体" w:hAnsi="宋体" w:eastAsia="宋体" w:cs="宋体"/>
                <w:b/>
                <w:bCs w:val="0"/>
                <w:color w:val="000000"/>
                <w:kern w:val="0"/>
                <w:sz w:val="22"/>
              </w:rPr>
              <w:t>年</w:t>
            </w:r>
          </w:p>
        </w:tc>
        <w:tc>
          <w:tcPr>
            <w:tcW w:w="1129"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firstLine="0" w:firstLineChars="0"/>
              <w:jc w:val="center"/>
              <w:rPr>
                <w:rFonts w:hint="eastAsia" w:ascii="宋体" w:hAnsi="宋体" w:eastAsia="宋体" w:cs="宋体"/>
                <w:b/>
                <w:bCs w:val="0"/>
                <w:color w:val="000000" w:themeColor="text1"/>
                <w:kern w:val="0"/>
                <w:sz w:val="22"/>
                <w14:textFill>
                  <w14:solidFill>
                    <w14:schemeClr w14:val="tx1"/>
                  </w14:solidFill>
                </w14:textFill>
              </w:rPr>
            </w:pPr>
            <w:r>
              <w:rPr>
                <w:rFonts w:hint="eastAsia" w:ascii="宋体" w:hAnsi="宋体" w:eastAsia="宋体" w:cs="宋体"/>
                <w:b/>
                <w:bCs w:val="0"/>
                <w:color w:val="000000"/>
                <w:kern w:val="0"/>
                <w:sz w:val="18"/>
                <w:szCs w:val="18"/>
                <w:lang w:val="en-US" w:eastAsia="zh-CN"/>
              </w:rPr>
              <w:t>2024</w:t>
            </w:r>
            <w:r>
              <w:rPr>
                <w:rFonts w:hint="eastAsia" w:ascii="宋体" w:hAnsi="宋体" w:eastAsia="宋体" w:cs="宋体"/>
                <w:b/>
                <w:bCs w:val="0"/>
                <w:color w:val="000000"/>
                <w:kern w:val="0"/>
                <w:sz w:val="22"/>
              </w:rPr>
              <w:t>年</w:t>
            </w:r>
          </w:p>
        </w:tc>
        <w:tc>
          <w:tcPr>
            <w:tcW w:w="112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firstLine="0" w:firstLineChars="0"/>
              <w:jc w:val="center"/>
              <w:rPr>
                <w:rFonts w:hint="eastAsia" w:ascii="宋体" w:hAnsi="宋体" w:eastAsia="宋体" w:cs="宋体"/>
                <w:b/>
                <w:bCs w:val="0"/>
                <w:color w:val="000000" w:themeColor="text1"/>
                <w:kern w:val="0"/>
                <w:sz w:val="22"/>
                <w14:textFill>
                  <w14:solidFill>
                    <w14:schemeClr w14:val="tx1"/>
                  </w14:solidFill>
                </w14:textFill>
              </w:rPr>
            </w:pPr>
            <w:r>
              <w:rPr>
                <w:rFonts w:hint="eastAsia" w:ascii="宋体" w:hAnsi="宋体" w:eastAsia="宋体" w:cs="宋体"/>
                <w:b/>
                <w:bCs w:val="0"/>
                <w:color w:val="000000"/>
                <w:kern w:val="0"/>
                <w:sz w:val="18"/>
                <w:szCs w:val="18"/>
                <w:lang w:val="en-US" w:eastAsia="zh-CN"/>
              </w:rPr>
              <w:t>2025</w:t>
            </w:r>
            <w:r>
              <w:rPr>
                <w:rFonts w:hint="eastAsia" w:ascii="宋体" w:hAnsi="宋体" w:eastAsia="宋体" w:cs="宋体"/>
                <w:b/>
                <w:bCs w:val="0"/>
                <w:color w:val="000000"/>
                <w:kern w:val="0"/>
                <w:sz w:val="22"/>
              </w:rPr>
              <w:t>年</w:t>
            </w:r>
          </w:p>
        </w:tc>
        <w:tc>
          <w:tcPr>
            <w:tcW w:w="119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auto"/>
              <w:ind w:firstLine="0" w:firstLineChars="0"/>
              <w:jc w:val="center"/>
              <w:rPr>
                <w:rFonts w:hint="eastAsia" w:ascii="宋体" w:hAnsi="宋体" w:eastAsia="宋体" w:cs="宋体"/>
                <w:b/>
                <w:bCs w:val="0"/>
                <w:color w:val="000000" w:themeColor="text1"/>
                <w:kern w:val="0"/>
                <w:sz w:val="22"/>
                <w14:textFill>
                  <w14:solidFill>
                    <w14:schemeClr w14:val="tx1"/>
                  </w14:solidFill>
                </w14:textFill>
              </w:rPr>
            </w:pPr>
            <w:r>
              <w:rPr>
                <w:rFonts w:hint="eastAsia" w:ascii="宋体" w:hAnsi="宋体" w:eastAsia="宋体" w:cs="宋体"/>
                <w:b/>
                <w:bCs w:val="0"/>
                <w:color w:val="000000"/>
                <w:kern w:val="0"/>
                <w:sz w:val="18"/>
                <w:szCs w:val="18"/>
                <w:lang w:val="en-US" w:eastAsia="zh-CN"/>
              </w:rPr>
              <w:t>2024</w:t>
            </w:r>
            <w:r>
              <w:rPr>
                <w:rFonts w:hint="eastAsia" w:ascii="宋体" w:hAnsi="宋体" w:eastAsia="宋体" w:cs="宋体"/>
                <w:b/>
                <w:bCs w:val="0"/>
                <w:color w:val="000000"/>
                <w:kern w:val="0"/>
                <w:sz w:val="22"/>
              </w:rPr>
              <w:t>年</w:t>
            </w:r>
          </w:p>
        </w:tc>
      </w:tr>
      <w:tr>
        <w:tblPrEx>
          <w:tblCellMar>
            <w:top w:w="0" w:type="dxa"/>
            <w:left w:w="108" w:type="dxa"/>
            <w:bottom w:w="0" w:type="dxa"/>
            <w:right w:w="108" w:type="dxa"/>
          </w:tblCellMar>
        </w:tblPrEx>
        <w:trPr>
          <w:trHeight w:val="439" w:hRule="atLeast"/>
          <w:jc w:val="center"/>
        </w:trPr>
        <w:tc>
          <w:tcPr>
            <w:tcW w:w="3179"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A.农、林、牧、渔业</w:t>
            </w:r>
          </w:p>
        </w:tc>
        <w:tc>
          <w:tcPr>
            <w:tcW w:w="1214"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71862</w:t>
            </w:r>
          </w:p>
        </w:tc>
        <w:tc>
          <w:tcPr>
            <w:tcW w:w="11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color w:val="000000"/>
                <w:kern w:val="0"/>
                <w:sz w:val="18"/>
                <w:szCs w:val="18"/>
                <w:lang w:val="en-US" w:eastAsia="zh-CN"/>
              </w:rPr>
              <w:t>126938</w:t>
            </w:r>
          </w:p>
        </w:tc>
        <w:tc>
          <w:tcPr>
            <w:tcW w:w="110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color w:val="000000"/>
                <w:kern w:val="0"/>
                <w:sz w:val="18"/>
                <w:szCs w:val="18"/>
                <w:lang w:val="en-US" w:eastAsia="zh-CN"/>
              </w:rPr>
              <w:t>1155.10221</w:t>
            </w:r>
          </w:p>
        </w:tc>
        <w:tc>
          <w:tcPr>
            <w:tcW w:w="1129"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color w:val="000000"/>
                <w:kern w:val="0"/>
                <w:sz w:val="18"/>
                <w:szCs w:val="18"/>
                <w:lang w:val="en-US" w:eastAsia="zh-CN"/>
              </w:rPr>
              <w:t>100.3442</w:t>
            </w:r>
          </w:p>
        </w:tc>
        <w:tc>
          <w:tcPr>
            <w:tcW w:w="1124"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color w:val="000000"/>
                <w:kern w:val="0"/>
                <w:sz w:val="18"/>
                <w:szCs w:val="18"/>
                <w:lang w:val="en-US" w:eastAsia="zh-CN"/>
              </w:rPr>
              <w:t>0.01607</w:t>
            </w:r>
          </w:p>
        </w:tc>
        <w:tc>
          <w:tcPr>
            <w:tcW w:w="119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color w:val="000000"/>
                <w:kern w:val="0"/>
                <w:sz w:val="18"/>
                <w:szCs w:val="18"/>
                <w:lang w:val="en-US" w:eastAsia="zh-CN"/>
              </w:rPr>
              <w:t>0.00079</w:t>
            </w:r>
          </w:p>
        </w:tc>
      </w:tr>
      <w:tr>
        <w:tblPrEx>
          <w:tblCellMar>
            <w:top w:w="0" w:type="dxa"/>
            <w:left w:w="108" w:type="dxa"/>
            <w:bottom w:w="0" w:type="dxa"/>
            <w:right w:w="108" w:type="dxa"/>
          </w:tblCellMar>
        </w:tblPrEx>
        <w:trPr>
          <w:trHeight w:val="439" w:hRule="atLeast"/>
          <w:jc w:val="center"/>
        </w:trPr>
        <w:tc>
          <w:tcPr>
            <w:tcW w:w="3179"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B.采矿业</w:t>
            </w:r>
          </w:p>
        </w:tc>
        <w:tc>
          <w:tcPr>
            <w:tcW w:w="1214"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0</w:t>
            </w:r>
          </w:p>
        </w:tc>
        <w:tc>
          <w:tcPr>
            <w:tcW w:w="11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color w:val="000000"/>
                <w:kern w:val="0"/>
                <w:sz w:val="18"/>
                <w:szCs w:val="18"/>
                <w:lang w:val="en-US" w:eastAsia="zh-CN"/>
              </w:rPr>
              <w:t>0</w:t>
            </w:r>
          </w:p>
        </w:tc>
        <w:tc>
          <w:tcPr>
            <w:tcW w:w="110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color w:val="000000"/>
                <w:kern w:val="0"/>
                <w:sz w:val="18"/>
                <w:szCs w:val="18"/>
                <w:lang w:val="en-US" w:eastAsia="zh-CN"/>
              </w:rPr>
              <w:t>0</w:t>
            </w:r>
          </w:p>
        </w:tc>
        <w:tc>
          <w:tcPr>
            <w:tcW w:w="1129"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color w:val="000000"/>
                <w:kern w:val="0"/>
                <w:sz w:val="18"/>
                <w:szCs w:val="18"/>
                <w:lang w:val="en-US" w:eastAsia="zh-CN"/>
              </w:rPr>
              <w:t>0</w:t>
            </w:r>
          </w:p>
        </w:tc>
        <w:tc>
          <w:tcPr>
            <w:tcW w:w="1124"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color w:val="000000"/>
                <w:kern w:val="0"/>
                <w:sz w:val="18"/>
                <w:szCs w:val="18"/>
                <w:lang w:val="en-US" w:eastAsia="zh-CN"/>
              </w:rPr>
              <w:t>0</w:t>
            </w:r>
          </w:p>
        </w:tc>
        <w:tc>
          <w:tcPr>
            <w:tcW w:w="119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color w:val="000000"/>
                <w:kern w:val="0"/>
                <w:sz w:val="18"/>
                <w:szCs w:val="18"/>
                <w:lang w:val="en-US" w:eastAsia="zh-CN"/>
              </w:rPr>
              <w:t>0</w:t>
            </w:r>
          </w:p>
        </w:tc>
      </w:tr>
      <w:tr>
        <w:tblPrEx>
          <w:tblCellMar>
            <w:top w:w="0" w:type="dxa"/>
            <w:left w:w="108" w:type="dxa"/>
            <w:bottom w:w="0" w:type="dxa"/>
            <w:right w:w="108" w:type="dxa"/>
          </w:tblCellMar>
        </w:tblPrEx>
        <w:trPr>
          <w:trHeight w:val="439" w:hRule="atLeast"/>
          <w:jc w:val="center"/>
        </w:trPr>
        <w:tc>
          <w:tcPr>
            <w:tcW w:w="3179"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C.制造业</w:t>
            </w:r>
          </w:p>
        </w:tc>
        <w:tc>
          <w:tcPr>
            <w:tcW w:w="1214"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1287471.78</w:t>
            </w:r>
          </w:p>
        </w:tc>
        <w:tc>
          <w:tcPr>
            <w:tcW w:w="11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color w:val="000000"/>
                <w:kern w:val="0"/>
                <w:sz w:val="18"/>
                <w:szCs w:val="18"/>
                <w:lang w:val="en-US" w:eastAsia="zh-CN"/>
              </w:rPr>
              <w:t>1501050.53462</w:t>
            </w:r>
          </w:p>
        </w:tc>
        <w:tc>
          <w:tcPr>
            <w:tcW w:w="110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color w:val="000000"/>
                <w:kern w:val="0"/>
                <w:sz w:val="18"/>
                <w:szCs w:val="18"/>
                <w:lang w:val="en-US" w:eastAsia="zh-CN"/>
              </w:rPr>
              <w:t>340512.12034</w:t>
            </w:r>
          </w:p>
        </w:tc>
        <w:tc>
          <w:tcPr>
            <w:tcW w:w="1129"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color w:val="000000"/>
                <w:kern w:val="0"/>
                <w:sz w:val="18"/>
                <w:szCs w:val="18"/>
                <w:lang w:val="en-US" w:eastAsia="zh-CN"/>
              </w:rPr>
              <w:t>196844.90099</w:t>
            </w:r>
          </w:p>
        </w:tc>
        <w:tc>
          <w:tcPr>
            <w:tcW w:w="1124"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color w:val="000000"/>
                <w:kern w:val="0"/>
                <w:sz w:val="18"/>
                <w:szCs w:val="18"/>
                <w:lang w:val="en-US" w:eastAsia="zh-CN"/>
              </w:rPr>
              <w:t>0.26448</w:t>
            </w:r>
          </w:p>
        </w:tc>
        <w:tc>
          <w:tcPr>
            <w:tcW w:w="119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color w:val="000000"/>
                <w:kern w:val="0"/>
                <w:sz w:val="18"/>
                <w:szCs w:val="18"/>
                <w:lang w:val="en-US" w:eastAsia="zh-CN"/>
              </w:rPr>
              <w:t>0.13114</w:t>
            </w:r>
          </w:p>
        </w:tc>
      </w:tr>
      <w:tr>
        <w:tblPrEx>
          <w:tblCellMar>
            <w:top w:w="0" w:type="dxa"/>
            <w:left w:w="108" w:type="dxa"/>
            <w:bottom w:w="0" w:type="dxa"/>
            <w:right w:w="108" w:type="dxa"/>
          </w:tblCellMar>
        </w:tblPrEx>
        <w:trPr>
          <w:trHeight w:val="439" w:hRule="atLeast"/>
          <w:jc w:val="center"/>
        </w:trPr>
        <w:tc>
          <w:tcPr>
            <w:tcW w:w="3179"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D.电力、热力、燃气及水生产和供应业</w:t>
            </w:r>
          </w:p>
        </w:tc>
        <w:tc>
          <w:tcPr>
            <w:tcW w:w="1214"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1085</w:t>
            </w:r>
          </w:p>
        </w:tc>
        <w:tc>
          <w:tcPr>
            <w:tcW w:w="11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color w:val="000000"/>
                <w:kern w:val="0"/>
                <w:sz w:val="18"/>
                <w:szCs w:val="18"/>
                <w:lang w:val="en-US" w:eastAsia="zh-CN"/>
              </w:rPr>
              <w:t>134942</w:t>
            </w:r>
          </w:p>
        </w:tc>
        <w:tc>
          <w:tcPr>
            <w:tcW w:w="110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color w:val="000000"/>
                <w:kern w:val="0"/>
                <w:sz w:val="18"/>
                <w:szCs w:val="18"/>
                <w:lang w:val="en-US" w:eastAsia="zh-CN"/>
              </w:rPr>
              <w:t>14.54946</w:t>
            </w:r>
          </w:p>
        </w:tc>
        <w:tc>
          <w:tcPr>
            <w:tcW w:w="1129"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color w:val="000000"/>
                <w:kern w:val="0"/>
                <w:sz w:val="18"/>
                <w:szCs w:val="18"/>
                <w:lang w:val="en-US" w:eastAsia="zh-CN"/>
              </w:rPr>
              <w:t>21.75082</w:t>
            </w:r>
          </w:p>
        </w:tc>
        <w:tc>
          <w:tcPr>
            <w:tcW w:w="1124"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color w:val="000000"/>
                <w:kern w:val="0"/>
                <w:sz w:val="18"/>
                <w:szCs w:val="18"/>
                <w:lang w:val="en-US" w:eastAsia="zh-CN"/>
              </w:rPr>
              <w:t>0.01341</w:t>
            </w:r>
          </w:p>
        </w:tc>
        <w:tc>
          <w:tcPr>
            <w:tcW w:w="119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color w:val="000000"/>
                <w:kern w:val="0"/>
                <w:sz w:val="18"/>
                <w:szCs w:val="18"/>
                <w:lang w:val="en-US" w:eastAsia="zh-CN"/>
              </w:rPr>
              <w:t>0.00016</w:t>
            </w:r>
          </w:p>
        </w:tc>
      </w:tr>
      <w:tr>
        <w:tblPrEx>
          <w:tblCellMar>
            <w:top w:w="0" w:type="dxa"/>
            <w:left w:w="108" w:type="dxa"/>
            <w:bottom w:w="0" w:type="dxa"/>
            <w:right w:w="108" w:type="dxa"/>
          </w:tblCellMar>
        </w:tblPrEx>
        <w:trPr>
          <w:trHeight w:val="439" w:hRule="atLeast"/>
          <w:jc w:val="center"/>
        </w:trPr>
        <w:tc>
          <w:tcPr>
            <w:tcW w:w="3179"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E.建筑业</w:t>
            </w:r>
          </w:p>
        </w:tc>
        <w:tc>
          <w:tcPr>
            <w:tcW w:w="1214"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8984359.96</w:t>
            </w:r>
          </w:p>
        </w:tc>
        <w:tc>
          <w:tcPr>
            <w:tcW w:w="11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color w:val="000000"/>
                <w:kern w:val="0"/>
                <w:sz w:val="18"/>
                <w:szCs w:val="18"/>
                <w:lang w:val="en-US" w:eastAsia="zh-CN"/>
              </w:rPr>
              <w:t>7174949.9</w:t>
            </w:r>
          </w:p>
        </w:tc>
        <w:tc>
          <w:tcPr>
            <w:tcW w:w="110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color w:val="000000"/>
                <w:kern w:val="0"/>
                <w:sz w:val="18"/>
                <w:szCs w:val="18"/>
                <w:lang w:val="en-US" w:eastAsia="zh-CN"/>
              </w:rPr>
              <w:t>9338.29511</w:t>
            </w:r>
          </w:p>
        </w:tc>
        <w:tc>
          <w:tcPr>
            <w:tcW w:w="1129"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color w:val="000000"/>
                <w:kern w:val="0"/>
                <w:sz w:val="18"/>
                <w:szCs w:val="18"/>
                <w:lang w:val="en-US" w:eastAsia="zh-CN"/>
              </w:rPr>
              <w:t>4703.9002</w:t>
            </w:r>
          </w:p>
        </w:tc>
        <w:tc>
          <w:tcPr>
            <w:tcW w:w="1124"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color w:val="000000"/>
                <w:kern w:val="0"/>
                <w:sz w:val="18"/>
                <w:szCs w:val="18"/>
                <w:lang w:val="en-US" w:eastAsia="zh-CN"/>
              </w:rPr>
              <w:t>0.00104</w:t>
            </w:r>
          </w:p>
        </w:tc>
        <w:tc>
          <w:tcPr>
            <w:tcW w:w="119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color w:val="000000"/>
                <w:kern w:val="0"/>
                <w:sz w:val="18"/>
                <w:szCs w:val="18"/>
                <w:lang w:val="en-US" w:eastAsia="zh-CN"/>
              </w:rPr>
              <w:t>0.00066</w:t>
            </w:r>
          </w:p>
        </w:tc>
      </w:tr>
      <w:tr>
        <w:tblPrEx>
          <w:tblCellMar>
            <w:top w:w="0" w:type="dxa"/>
            <w:left w:w="108" w:type="dxa"/>
            <w:bottom w:w="0" w:type="dxa"/>
            <w:right w:w="108" w:type="dxa"/>
          </w:tblCellMar>
        </w:tblPrEx>
        <w:trPr>
          <w:trHeight w:val="439" w:hRule="atLeast"/>
          <w:jc w:val="center"/>
        </w:trPr>
        <w:tc>
          <w:tcPr>
            <w:tcW w:w="3179"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F.批发和零售业</w:t>
            </w:r>
          </w:p>
        </w:tc>
        <w:tc>
          <w:tcPr>
            <w:tcW w:w="1214"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841607.7</w:t>
            </w:r>
          </w:p>
        </w:tc>
        <w:tc>
          <w:tcPr>
            <w:tcW w:w="11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color w:val="000000"/>
                <w:kern w:val="0"/>
                <w:sz w:val="18"/>
                <w:szCs w:val="18"/>
                <w:lang w:val="en-US" w:eastAsia="zh-CN"/>
              </w:rPr>
              <w:t>254276.54</w:t>
            </w:r>
          </w:p>
        </w:tc>
        <w:tc>
          <w:tcPr>
            <w:tcW w:w="110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color w:val="000000"/>
                <w:kern w:val="0"/>
                <w:sz w:val="18"/>
                <w:szCs w:val="18"/>
                <w:lang w:val="en-US" w:eastAsia="zh-CN"/>
              </w:rPr>
              <w:t>4513.64563</w:t>
            </w:r>
          </w:p>
        </w:tc>
        <w:tc>
          <w:tcPr>
            <w:tcW w:w="1129"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color w:val="000000"/>
                <w:kern w:val="0"/>
                <w:sz w:val="18"/>
                <w:szCs w:val="18"/>
                <w:lang w:val="en-US" w:eastAsia="zh-CN"/>
              </w:rPr>
              <w:t>2628.67513</w:t>
            </w:r>
          </w:p>
        </w:tc>
        <w:tc>
          <w:tcPr>
            <w:tcW w:w="1124"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color w:val="000000"/>
                <w:kern w:val="0"/>
                <w:sz w:val="18"/>
                <w:szCs w:val="18"/>
                <w:lang w:val="en-US" w:eastAsia="zh-CN"/>
              </w:rPr>
              <w:t>0.00536</w:t>
            </w:r>
          </w:p>
        </w:tc>
        <w:tc>
          <w:tcPr>
            <w:tcW w:w="119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color w:val="000000"/>
                <w:kern w:val="0"/>
                <w:sz w:val="18"/>
                <w:szCs w:val="18"/>
                <w:lang w:val="en-US" w:eastAsia="zh-CN"/>
              </w:rPr>
              <w:t>0.01034</w:t>
            </w:r>
          </w:p>
        </w:tc>
      </w:tr>
      <w:tr>
        <w:tblPrEx>
          <w:tblCellMar>
            <w:top w:w="0" w:type="dxa"/>
            <w:left w:w="108" w:type="dxa"/>
            <w:bottom w:w="0" w:type="dxa"/>
            <w:right w:w="108" w:type="dxa"/>
          </w:tblCellMar>
        </w:tblPrEx>
        <w:trPr>
          <w:trHeight w:val="439" w:hRule="atLeast"/>
          <w:jc w:val="center"/>
        </w:trPr>
        <w:tc>
          <w:tcPr>
            <w:tcW w:w="3179"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G.交通运输、仓储和邮政业</w:t>
            </w:r>
          </w:p>
        </w:tc>
        <w:tc>
          <w:tcPr>
            <w:tcW w:w="1214"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616023</w:t>
            </w:r>
          </w:p>
        </w:tc>
        <w:tc>
          <w:tcPr>
            <w:tcW w:w="11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color w:val="000000"/>
                <w:kern w:val="0"/>
                <w:sz w:val="18"/>
                <w:szCs w:val="18"/>
                <w:lang w:val="en-US" w:eastAsia="zh-CN"/>
              </w:rPr>
              <w:t>312209.11</w:t>
            </w:r>
          </w:p>
        </w:tc>
        <w:tc>
          <w:tcPr>
            <w:tcW w:w="110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color w:val="000000"/>
                <w:kern w:val="0"/>
                <w:sz w:val="18"/>
                <w:szCs w:val="18"/>
                <w:lang w:val="en-US" w:eastAsia="zh-CN"/>
              </w:rPr>
              <w:t>383.73767</w:t>
            </w:r>
          </w:p>
        </w:tc>
        <w:tc>
          <w:tcPr>
            <w:tcW w:w="1129"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color w:val="000000"/>
                <w:kern w:val="0"/>
                <w:sz w:val="18"/>
                <w:szCs w:val="18"/>
                <w:lang w:val="en-US" w:eastAsia="zh-CN"/>
              </w:rPr>
              <w:t>192.80968</w:t>
            </w:r>
          </w:p>
        </w:tc>
        <w:tc>
          <w:tcPr>
            <w:tcW w:w="1124"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color w:val="000000"/>
                <w:kern w:val="0"/>
                <w:sz w:val="18"/>
                <w:szCs w:val="18"/>
                <w:lang w:val="en-US" w:eastAsia="zh-CN"/>
              </w:rPr>
              <w:t>0.00062</w:t>
            </w:r>
          </w:p>
        </w:tc>
        <w:tc>
          <w:tcPr>
            <w:tcW w:w="119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color w:val="000000"/>
                <w:kern w:val="0"/>
                <w:sz w:val="18"/>
                <w:szCs w:val="18"/>
                <w:lang w:val="en-US" w:eastAsia="zh-CN"/>
              </w:rPr>
              <w:t>0.00062</w:t>
            </w:r>
          </w:p>
        </w:tc>
      </w:tr>
      <w:tr>
        <w:tblPrEx>
          <w:tblCellMar>
            <w:top w:w="0" w:type="dxa"/>
            <w:left w:w="108" w:type="dxa"/>
            <w:bottom w:w="0" w:type="dxa"/>
            <w:right w:w="108" w:type="dxa"/>
          </w:tblCellMar>
        </w:tblPrEx>
        <w:trPr>
          <w:trHeight w:val="439" w:hRule="atLeast"/>
          <w:jc w:val="center"/>
        </w:trPr>
        <w:tc>
          <w:tcPr>
            <w:tcW w:w="3179"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H.住宿和餐饮业</w:t>
            </w:r>
          </w:p>
        </w:tc>
        <w:tc>
          <w:tcPr>
            <w:tcW w:w="1214"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146705.5</w:t>
            </w:r>
          </w:p>
        </w:tc>
        <w:tc>
          <w:tcPr>
            <w:tcW w:w="11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color w:val="000000"/>
                <w:kern w:val="0"/>
                <w:sz w:val="18"/>
                <w:szCs w:val="18"/>
                <w:lang w:val="en-US" w:eastAsia="zh-CN"/>
              </w:rPr>
              <w:t>67545.33</w:t>
            </w:r>
          </w:p>
        </w:tc>
        <w:tc>
          <w:tcPr>
            <w:tcW w:w="110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color w:val="000000"/>
                <w:kern w:val="0"/>
                <w:sz w:val="18"/>
                <w:szCs w:val="18"/>
                <w:lang w:val="en-US" w:eastAsia="zh-CN"/>
              </w:rPr>
              <w:t>2397.20438</w:t>
            </w:r>
          </w:p>
        </w:tc>
        <w:tc>
          <w:tcPr>
            <w:tcW w:w="1129"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color w:val="000000"/>
                <w:kern w:val="0"/>
                <w:sz w:val="18"/>
                <w:szCs w:val="18"/>
                <w:lang w:val="en-US" w:eastAsia="zh-CN"/>
              </w:rPr>
              <w:t>2616.01775</w:t>
            </w:r>
          </w:p>
        </w:tc>
        <w:tc>
          <w:tcPr>
            <w:tcW w:w="1124"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color w:val="000000"/>
                <w:kern w:val="0"/>
                <w:sz w:val="18"/>
                <w:szCs w:val="18"/>
                <w:lang w:val="en-US" w:eastAsia="zh-CN"/>
              </w:rPr>
              <w:t>0.01634</w:t>
            </w:r>
          </w:p>
        </w:tc>
        <w:tc>
          <w:tcPr>
            <w:tcW w:w="119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color w:val="000000"/>
                <w:kern w:val="0"/>
                <w:sz w:val="18"/>
                <w:szCs w:val="18"/>
                <w:lang w:val="en-US" w:eastAsia="zh-CN"/>
              </w:rPr>
              <w:t>0.03873</w:t>
            </w:r>
          </w:p>
        </w:tc>
      </w:tr>
      <w:tr>
        <w:tblPrEx>
          <w:tblCellMar>
            <w:top w:w="0" w:type="dxa"/>
            <w:left w:w="108" w:type="dxa"/>
            <w:bottom w:w="0" w:type="dxa"/>
            <w:right w:w="108" w:type="dxa"/>
          </w:tblCellMar>
        </w:tblPrEx>
        <w:trPr>
          <w:trHeight w:val="439" w:hRule="atLeast"/>
          <w:jc w:val="center"/>
        </w:trPr>
        <w:tc>
          <w:tcPr>
            <w:tcW w:w="3179"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I.信息传输、软件和信息技术服务业</w:t>
            </w:r>
          </w:p>
        </w:tc>
        <w:tc>
          <w:tcPr>
            <w:tcW w:w="1214"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6100</w:t>
            </w:r>
          </w:p>
        </w:tc>
        <w:tc>
          <w:tcPr>
            <w:tcW w:w="11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color w:val="000000"/>
                <w:kern w:val="0"/>
                <w:sz w:val="18"/>
                <w:szCs w:val="18"/>
                <w:lang w:val="en-US" w:eastAsia="zh-CN"/>
              </w:rPr>
              <w:t>2600</w:t>
            </w:r>
          </w:p>
        </w:tc>
        <w:tc>
          <w:tcPr>
            <w:tcW w:w="110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color w:val="000000"/>
                <w:kern w:val="0"/>
                <w:sz w:val="18"/>
                <w:szCs w:val="18"/>
                <w:lang w:val="en-US" w:eastAsia="zh-CN"/>
              </w:rPr>
              <w:t>36.77681</w:t>
            </w:r>
          </w:p>
        </w:tc>
        <w:tc>
          <w:tcPr>
            <w:tcW w:w="1129"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color w:val="000000"/>
                <w:kern w:val="0"/>
                <w:sz w:val="18"/>
                <w:szCs w:val="18"/>
                <w:lang w:val="en-US" w:eastAsia="zh-CN"/>
              </w:rPr>
              <w:t>31.1735</w:t>
            </w:r>
          </w:p>
        </w:tc>
        <w:tc>
          <w:tcPr>
            <w:tcW w:w="1124"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color w:val="000000"/>
                <w:kern w:val="0"/>
                <w:sz w:val="18"/>
                <w:szCs w:val="18"/>
                <w:lang w:val="en-US" w:eastAsia="zh-CN"/>
              </w:rPr>
              <w:t>0.00603</w:t>
            </w:r>
          </w:p>
        </w:tc>
        <w:tc>
          <w:tcPr>
            <w:tcW w:w="119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color w:val="000000"/>
                <w:kern w:val="0"/>
                <w:sz w:val="18"/>
                <w:szCs w:val="18"/>
                <w:lang w:val="en-US" w:eastAsia="zh-CN"/>
              </w:rPr>
              <w:t>0.01199</w:t>
            </w:r>
          </w:p>
        </w:tc>
      </w:tr>
      <w:tr>
        <w:tblPrEx>
          <w:tblCellMar>
            <w:top w:w="0" w:type="dxa"/>
            <w:left w:w="108" w:type="dxa"/>
            <w:bottom w:w="0" w:type="dxa"/>
            <w:right w:w="108" w:type="dxa"/>
          </w:tblCellMar>
        </w:tblPrEx>
        <w:trPr>
          <w:trHeight w:val="439" w:hRule="atLeast"/>
          <w:jc w:val="center"/>
        </w:trPr>
        <w:tc>
          <w:tcPr>
            <w:tcW w:w="3179"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J.金融业</w:t>
            </w:r>
          </w:p>
        </w:tc>
        <w:tc>
          <w:tcPr>
            <w:tcW w:w="1214"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228783</w:t>
            </w:r>
          </w:p>
        </w:tc>
        <w:tc>
          <w:tcPr>
            <w:tcW w:w="11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color w:val="000000"/>
                <w:kern w:val="0"/>
                <w:sz w:val="18"/>
                <w:szCs w:val="18"/>
                <w:lang w:val="en-US" w:eastAsia="zh-CN"/>
              </w:rPr>
              <w:t>0</w:t>
            </w:r>
          </w:p>
        </w:tc>
        <w:tc>
          <w:tcPr>
            <w:tcW w:w="110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color w:val="000000"/>
                <w:kern w:val="0"/>
                <w:sz w:val="18"/>
                <w:szCs w:val="18"/>
                <w:lang w:val="en-US" w:eastAsia="zh-CN"/>
              </w:rPr>
              <w:t>878.25388</w:t>
            </w:r>
          </w:p>
        </w:tc>
        <w:tc>
          <w:tcPr>
            <w:tcW w:w="1129"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color w:val="000000"/>
                <w:kern w:val="0"/>
                <w:sz w:val="18"/>
                <w:szCs w:val="18"/>
                <w:lang w:val="en-US" w:eastAsia="zh-CN"/>
              </w:rPr>
              <w:t>0</w:t>
            </w:r>
          </w:p>
        </w:tc>
        <w:tc>
          <w:tcPr>
            <w:tcW w:w="1124"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color w:val="000000"/>
                <w:kern w:val="0"/>
                <w:sz w:val="18"/>
                <w:szCs w:val="18"/>
                <w:lang w:val="en-US" w:eastAsia="zh-CN"/>
              </w:rPr>
              <w:t>0.00384</w:t>
            </w:r>
          </w:p>
        </w:tc>
        <w:tc>
          <w:tcPr>
            <w:tcW w:w="119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color w:val="000000"/>
                <w:kern w:val="0"/>
                <w:sz w:val="18"/>
                <w:szCs w:val="18"/>
                <w:lang w:val="en-US" w:eastAsia="zh-CN"/>
              </w:rPr>
              <w:t>0</w:t>
            </w:r>
          </w:p>
        </w:tc>
      </w:tr>
      <w:tr>
        <w:tblPrEx>
          <w:tblCellMar>
            <w:top w:w="0" w:type="dxa"/>
            <w:left w:w="108" w:type="dxa"/>
            <w:bottom w:w="0" w:type="dxa"/>
            <w:right w:w="108" w:type="dxa"/>
          </w:tblCellMar>
        </w:tblPrEx>
        <w:trPr>
          <w:trHeight w:val="439" w:hRule="atLeast"/>
          <w:jc w:val="center"/>
        </w:trPr>
        <w:tc>
          <w:tcPr>
            <w:tcW w:w="3179"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K.房地产业</w:t>
            </w:r>
          </w:p>
        </w:tc>
        <w:tc>
          <w:tcPr>
            <w:tcW w:w="1214"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483390</w:t>
            </w:r>
          </w:p>
        </w:tc>
        <w:tc>
          <w:tcPr>
            <w:tcW w:w="11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color w:val="000000"/>
                <w:kern w:val="0"/>
                <w:sz w:val="18"/>
                <w:szCs w:val="18"/>
                <w:lang w:val="en-US" w:eastAsia="zh-CN"/>
              </w:rPr>
              <w:t>434932</w:t>
            </w:r>
          </w:p>
        </w:tc>
        <w:tc>
          <w:tcPr>
            <w:tcW w:w="110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color w:val="000000"/>
                <w:kern w:val="0"/>
                <w:sz w:val="18"/>
                <w:szCs w:val="18"/>
                <w:lang w:val="en-US" w:eastAsia="zh-CN"/>
              </w:rPr>
              <w:t>12270.78775</w:t>
            </w:r>
          </w:p>
        </w:tc>
        <w:tc>
          <w:tcPr>
            <w:tcW w:w="1129"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color w:val="000000"/>
                <w:kern w:val="0"/>
                <w:sz w:val="18"/>
                <w:szCs w:val="18"/>
                <w:lang w:val="en-US" w:eastAsia="zh-CN"/>
              </w:rPr>
              <w:t>2786.92994</w:t>
            </w:r>
          </w:p>
        </w:tc>
        <w:tc>
          <w:tcPr>
            <w:tcW w:w="1124"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color w:val="000000"/>
                <w:kern w:val="0"/>
                <w:sz w:val="18"/>
                <w:szCs w:val="18"/>
                <w:lang w:val="en-US" w:eastAsia="zh-CN"/>
              </w:rPr>
              <w:t>0.02538</w:t>
            </w:r>
          </w:p>
        </w:tc>
        <w:tc>
          <w:tcPr>
            <w:tcW w:w="119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color w:val="000000"/>
                <w:kern w:val="0"/>
                <w:sz w:val="18"/>
                <w:szCs w:val="18"/>
                <w:lang w:val="en-US" w:eastAsia="zh-CN"/>
              </w:rPr>
              <w:t>0.00641</w:t>
            </w:r>
          </w:p>
        </w:tc>
      </w:tr>
      <w:tr>
        <w:tblPrEx>
          <w:tblCellMar>
            <w:top w:w="0" w:type="dxa"/>
            <w:left w:w="108" w:type="dxa"/>
            <w:bottom w:w="0" w:type="dxa"/>
            <w:right w:w="108" w:type="dxa"/>
          </w:tblCellMar>
        </w:tblPrEx>
        <w:trPr>
          <w:trHeight w:val="439" w:hRule="atLeast"/>
          <w:jc w:val="center"/>
        </w:trPr>
        <w:tc>
          <w:tcPr>
            <w:tcW w:w="3179"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L.租赁和商务服务业</w:t>
            </w:r>
          </w:p>
        </w:tc>
        <w:tc>
          <w:tcPr>
            <w:tcW w:w="1214"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1397862</w:t>
            </w:r>
          </w:p>
        </w:tc>
        <w:tc>
          <w:tcPr>
            <w:tcW w:w="11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color w:val="000000"/>
                <w:kern w:val="0"/>
                <w:sz w:val="18"/>
                <w:szCs w:val="18"/>
                <w:lang w:val="en-US" w:eastAsia="zh-CN"/>
              </w:rPr>
              <w:t>281970</w:t>
            </w:r>
          </w:p>
        </w:tc>
        <w:tc>
          <w:tcPr>
            <w:tcW w:w="110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color w:val="000000"/>
                <w:kern w:val="0"/>
                <w:sz w:val="18"/>
                <w:szCs w:val="18"/>
                <w:lang w:val="en-US" w:eastAsia="zh-CN"/>
              </w:rPr>
              <w:t>384.37859</w:t>
            </w:r>
          </w:p>
        </w:tc>
        <w:tc>
          <w:tcPr>
            <w:tcW w:w="1129"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color w:val="000000"/>
                <w:kern w:val="0"/>
                <w:sz w:val="18"/>
                <w:szCs w:val="18"/>
                <w:lang w:val="en-US" w:eastAsia="zh-CN"/>
              </w:rPr>
              <w:t>3292.92882</w:t>
            </w:r>
          </w:p>
        </w:tc>
        <w:tc>
          <w:tcPr>
            <w:tcW w:w="1124"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color w:val="000000"/>
                <w:kern w:val="0"/>
                <w:sz w:val="18"/>
                <w:szCs w:val="18"/>
                <w:lang w:val="en-US" w:eastAsia="zh-CN"/>
              </w:rPr>
              <w:t>0.00027</w:t>
            </w:r>
          </w:p>
        </w:tc>
        <w:tc>
          <w:tcPr>
            <w:tcW w:w="119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color w:val="000000"/>
                <w:kern w:val="0"/>
                <w:sz w:val="18"/>
                <w:szCs w:val="18"/>
                <w:lang w:val="en-US" w:eastAsia="zh-CN"/>
              </w:rPr>
              <w:t>0.01168</w:t>
            </w:r>
          </w:p>
        </w:tc>
      </w:tr>
      <w:tr>
        <w:tblPrEx>
          <w:tblCellMar>
            <w:top w:w="0" w:type="dxa"/>
            <w:left w:w="108" w:type="dxa"/>
            <w:bottom w:w="0" w:type="dxa"/>
            <w:right w:w="108" w:type="dxa"/>
          </w:tblCellMar>
        </w:tblPrEx>
        <w:trPr>
          <w:trHeight w:val="439" w:hRule="atLeast"/>
          <w:jc w:val="center"/>
        </w:trPr>
        <w:tc>
          <w:tcPr>
            <w:tcW w:w="3179"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M.科学研究和技术服务业</w:t>
            </w:r>
          </w:p>
        </w:tc>
        <w:tc>
          <w:tcPr>
            <w:tcW w:w="1214"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152945</w:t>
            </w:r>
          </w:p>
        </w:tc>
        <w:tc>
          <w:tcPr>
            <w:tcW w:w="11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color w:val="000000"/>
                <w:kern w:val="0"/>
                <w:sz w:val="18"/>
                <w:szCs w:val="18"/>
                <w:lang w:val="en-US" w:eastAsia="zh-CN"/>
              </w:rPr>
              <w:t>17890</w:t>
            </w:r>
          </w:p>
        </w:tc>
        <w:tc>
          <w:tcPr>
            <w:tcW w:w="110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color w:val="000000"/>
                <w:kern w:val="0"/>
                <w:sz w:val="18"/>
                <w:szCs w:val="18"/>
                <w:lang w:val="en-US" w:eastAsia="zh-CN"/>
              </w:rPr>
              <w:t>769.15816</w:t>
            </w:r>
          </w:p>
        </w:tc>
        <w:tc>
          <w:tcPr>
            <w:tcW w:w="1129"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color w:val="000000"/>
                <w:kern w:val="0"/>
                <w:sz w:val="18"/>
                <w:szCs w:val="18"/>
                <w:lang w:val="en-US" w:eastAsia="zh-CN"/>
              </w:rPr>
              <w:t>592.00309</w:t>
            </w:r>
          </w:p>
        </w:tc>
        <w:tc>
          <w:tcPr>
            <w:tcW w:w="1124"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color w:val="000000"/>
                <w:kern w:val="0"/>
                <w:sz w:val="18"/>
                <w:szCs w:val="18"/>
                <w:lang w:val="en-US" w:eastAsia="zh-CN"/>
              </w:rPr>
              <w:t>0.00503</w:t>
            </w:r>
          </w:p>
        </w:tc>
        <w:tc>
          <w:tcPr>
            <w:tcW w:w="119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color w:val="000000"/>
                <w:kern w:val="0"/>
                <w:sz w:val="18"/>
                <w:szCs w:val="18"/>
                <w:lang w:val="en-US" w:eastAsia="zh-CN"/>
              </w:rPr>
              <w:t>0.03309</w:t>
            </w:r>
          </w:p>
        </w:tc>
      </w:tr>
      <w:tr>
        <w:tblPrEx>
          <w:tblCellMar>
            <w:top w:w="0" w:type="dxa"/>
            <w:left w:w="108" w:type="dxa"/>
            <w:bottom w:w="0" w:type="dxa"/>
            <w:right w:w="108" w:type="dxa"/>
          </w:tblCellMar>
        </w:tblPrEx>
        <w:trPr>
          <w:trHeight w:val="439" w:hRule="atLeast"/>
          <w:jc w:val="center"/>
        </w:trPr>
        <w:tc>
          <w:tcPr>
            <w:tcW w:w="3179"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N.水利、环境和公共设施管理业</w:t>
            </w:r>
          </w:p>
        </w:tc>
        <w:tc>
          <w:tcPr>
            <w:tcW w:w="1214"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383430</w:t>
            </w:r>
          </w:p>
        </w:tc>
        <w:tc>
          <w:tcPr>
            <w:tcW w:w="11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color w:val="000000"/>
                <w:kern w:val="0"/>
                <w:sz w:val="18"/>
                <w:szCs w:val="18"/>
                <w:lang w:val="en-US" w:eastAsia="zh-CN"/>
              </w:rPr>
              <w:t>58950</w:t>
            </w:r>
          </w:p>
        </w:tc>
        <w:tc>
          <w:tcPr>
            <w:tcW w:w="110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color w:val="000000"/>
                <w:kern w:val="0"/>
                <w:sz w:val="18"/>
                <w:szCs w:val="18"/>
                <w:lang w:val="en-US" w:eastAsia="zh-CN"/>
              </w:rPr>
              <w:t>96.50158</w:t>
            </w:r>
          </w:p>
        </w:tc>
        <w:tc>
          <w:tcPr>
            <w:tcW w:w="1129"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color w:val="000000"/>
                <w:kern w:val="0"/>
                <w:sz w:val="18"/>
                <w:szCs w:val="18"/>
                <w:lang w:val="en-US" w:eastAsia="zh-CN"/>
              </w:rPr>
              <w:t>502.16</w:t>
            </w:r>
          </w:p>
        </w:tc>
        <w:tc>
          <w:tcPr>
            <w:tcW w:w="1124"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color w:val="000000"/>
                <w:kern w:val="0"/>
                <w:sz w:val="18"/>
                <w:szCs w:val="18"/>
                <w:lang w:val="en-US" w:eastAsia="zh-CN"/>
              </w:rPr>
              <w:t>0.00025</w:t>
            </w:r>
          </w:p>
        </w:tc>
        <w:tc>
          <w:tcPr>
            <w:tcW w:w="119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color w:val="000000"/>
                <w:kern w:val="0"/>
                <w:sz w:val="18"/>
                <w:szCs w:val="18"/>
                <w:lang w:val="en-US" w:eastAsia="zh-CN"/>
              </w:rPr>
              <w:t>0.00852</w:t>
            </w:r>
          </w:p>
        </w:tc>
      </w:tr>
      <w:tr>
        <w:tblPrEx>
          <w:tblCellMar>
            <w:top w:w="0" w:type="dxa"/>
            <w:left w:w="108" w:type="dxa"/>
            <w:bottom w:w="0" w:type="dxa"/>
            <w:right w:w="108" w:type="dxa"/>
          </w:tblCellMar>
        </w:tblPrEx>
        <w:trPr>
          <w:trHeight w:val="439" w:hRule="atLeast"/>
          <w:jc w:val="center"/>
        </w:trPr>
        <w:tc>
          <w:tcPr>
            <w:tcW w:w="3179"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O.居民服务、修理和其他服务业</w:t>
            </w:r>
          </w:p>
        </w:tc>
        <w:tc>
          <w:tcPr>
            <w:tcW w:w="1214"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10635</w:t>
            </w:r>
          </w:p>
        </w:tc>
        <w:tc>
          <w:tcPr>
            <w:tcW w:w="11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color w:val="000000"/>
                <w:kern w:val="0"/>
                <w:sz w:val="18"/>
                <w:szCs w:val="18"/>
                <w:lang w:val="en-US" w:eastAsia="zh-CN"/>
              </w:rPr>
              <w:t>11065</w:t>
            </w:r>
          </w:p>
        </w:tc>
        <w:tc>
          <w:tcPr>
            <w:tcW w:w="110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color w:val="000000"/>
                <w:kern w:val="0"/>
                <w:sz w:val="18"/>
                <w:szCs w:val="18"/>
                <w:lang w:val="en-US" w:eastAsia="zh-CN"/>
              </w:rPr>
              <w:t>0.55</w:t>
            </w:r>
          </w:p>
        </w:tc>
        <w:tc>
          <w:tcPr>
            <w:tcW w:w="1129"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color w:val="000000"/>
                <w:kern w:val="0"/>
                <w:sz w:val="18"/>
                <w:szCs w:val="18"/>
                <w:lang w:val="en-US" w:eastAsia="zh-CN"/>
              </w:rPr>
              <w:t>17.9</w:t>
            </w:r>
          </w:p>
        </w:tc>
        <w:tc>
          <w:tcPr>
            <w:tcW w:w="1124"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color w:val="000000"/>
                <w:kern w:val="0"/>
                <w:sz w:val="18"/>
                <w:szCs w:val="18"/>
                <w:lang w:val="en-US" w:eastAsia="zh-CN"/>
              </w:rPr>
              <w:t>0.00005</w:t>
            </w:r>
          </w:p>
        </w:tc>
        <w:tc>
          <w:tcPr>
            <w:tcW w:w="119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color w:val="000000"/>
                <w:kern w:val="0"/>
                <w:sz w:val="18"/>
                <w:szCs w:val="18"/>
                <w:lang w:val="en-US" w:eastAsia="zh-CN"/>
              </w:rPr>
              <w:t>0.00162</w:t>
            </w:r>
          </w:p>
        </w:tc>
      </w:tr>
      <w:tr>
        <w:tblPrEx>
          <w:tblCellMar>
            <w:top w:w="0" w:type="dxa"/>
            <w:left w:w="108" w:type="dxa"/>
            <w:bottom w:w="0" w:type="dxa"/>
            <w:right w:w="108" w:type="dxa"/>
          </w:tblCellMar>
        </w:tblPrEx>
        <w:trPr>
          <w:trHeight w:val="439" w:hRule="atLeast"/>
          <w:jc w:val="center"/>
        </w:trPr>
        <w:tc>
          <w:tcPr>
            <w:tcW w:w="3179"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P.教育</w:t>
            </w:r>
          </w:p>
        </w:tc>
        <w:tc>
          <w:tcPr>
            <w:tcW w:w="1214"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2300</w:t>
            </w:r>
          </w:p>
        </w:tc>
        <w:tc>
          <w:tcPr>
            <w:tcW w:w="11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color w:val="000000"/>
                <w:kern w:val="0"/>
                <w:sz w:val="18"/>
                <w:szCs w:val="18"/>
                <w:lang w:val="en-US" w:eastAsia="zh-CN"/>
              </w:rPr>
              <w:t>2290</w:t>
            </w:r>
          </w:p>
        </w:tc>
        <w:tc>
          <w:tcPr>
            <w:tcW w:w="110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color w:val="000000"/>
                <w:kern w:val="0"/>
                <w:sz w:val="18"/>
                <w:szCs w:val="18"/>
                <w:lang w:val="en-US" w:eastAsia="zh-CN"/>
              </w:rPr>
              <w:t>50.59896</w:t>
            </w:r>
          </w:p>
        </w:tc>
        <w:tc>
          <w:tcPr>
            <w:tcW w:w="1129"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color w:val="000000"/>
                <w:kern w:val="0"/>
                <w:sz w:val="18"/>
                <w:szCs w:val="18"/>
                <w:lang w:val="en-US" w:eastAsia="zh-CN"/>
              </w:rPr>
              <w:t>0</w:t>
            </w:r>
          </w:p>
        </w:tc>
        <w:tc>
          <w:tcPr>
            <w:tcW w:w="1124"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color w:val="000000"/>
                <w:kern w:val="0"/>
                <w:sz w:val="18"/>
                <w:szCs w:val="18"/>
                <w:lang w:val="en-US" w:eastAsia="zh-CN"/>
              </w:rPr>
              <w:t>0.022</w:t>
            </w:r>
          </w:p>
        </w:tc>
        <w:tc>
          <w:tcPr>
            <w:tcW w:w="119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color w:val="000000"/>
                <w:kern w:val="0"/>
                <w:sz w:val="18"/>
                <w:szCs w:val="18"/>
                <w:lang w:val="en-US" w:eastAsia="zh-CN"/>
              </w:rPr>
              <w:t>0</w:t>
            </w:r>
          </w:p>
        </w:tc>
      </w:tr>
      <w:tr>
        <w:tblPrEx>
          <w:tblCellMar>
            <w:top w:w="0" w:type="dxa"/>
            <w:left w:w="108" w:type="dxa"/>
            <w:bottom w:w="0" w:type="dxa"/>
            <w:right w:w="108" w:type="dxa"/>
          </w:tblCellMar>
        </w:tblPrEx>
        <w:trPr>
          <w:trHeight w:val="439" w:hRule="atLeast"/>
          <w:jc w:val="center"/>
        </w:trPr>
        <w:tc>
          <w:tcPr>
            <w:tcW w:w="3179"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Q.卫生和社会工作</w:t>
            </w:r>
          </w:p>
        </w:tc>
        <w:tc>
          <w:tcPr>
            <w:tcW w:w="1214"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9778</w:t>
            </w:r>
          </w:p>
        </w:tc>
        <w:tc>
          <w:tcPr>
            <w:tcW w:w="11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color w:val="000000"/>
                <w:kern w:val="0"/>
                <w:sz w:val="18"/>
                <w:szCs w:val="18"/>
                <w:lang w:val="en-US" w:eastAsia="zh-CN"/>
              </w:rPr>
              <w:t>4300</w:t>
            </w:r>
          </w:p>
        </w:tc>
        <w:tc>
          <w:tcPr>
            <w:tcW w:w="110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color w:val="000000"/>
                <w:kern w:val="0"/>
                <w:sz w:val="18"/>
                <w:szCs w:val="18"/>
                <w:lang w:val="en-US" w:eastAsia="zh-CN"/>
              </w:rPr>
              <w:t>143.43431</w:t>
            </w:r>
          </w:p>
        </w:tc>
        <w:tc>
          <w:tcPr>
            <w:tcW w:w="1129"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color w:val="000000"/>
                <w:kern w:val="0"/>
                <w:sz w:val="18"/>
                <w:szCs w:val="18"/>
                <w:lang w:val="en-US" w:eastAsia="zh-CN"/>
              </w:rPr>
              <w:t>181.39746</w:t>
            </w:r>
          </w:p>
        </w:tc>
        <w:tc>
          <w:tcPr>
            <w:tcW w:w="1124"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color w:val="000000"/>
                <w:kern w:val="0"/>
                <w:sz w:val="18"/>
                <w:szCs w:val="18"/>
                <w:lang w:val="en-US" w:eastAsia="zh-CN"/>
              </w:rPr>
              <w:t>0.01467</w:t>
            </w:r>
          </w:p>
        </w:tc>
        <w:tc>
          <w:tcPr>
            <w:tcW w:w="119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color w:val="000000"/>
                <w:kern w:val="0"/>
                <w:sz w:val="18"/>
                <w:szCs w:val="18"/>
                <w:lang w:val="en-US" w:eastAsia="zh-CN"/>
              </w:rPr>
              <w:t>0.04219</w:t>
            </w:r>
          </w:p>
        </w:tc>
      </w:tr>
      <w:tr>
        <w:tblPrEx>
          <w:tblCellMar>
            <w:top w:w="0" w:type="dxa"/>
            <w:left w:w="108" w:type="dxa"/>
            <w:bottom w:w="0" w:type="dxa"/>
            <w:right w:w="108" w:type="dxa"/>
          </w:tblCellMar>
        </w:tblPrEx>
        <w:trPr>
          <w:trHeight w:val="439" w:hRule="atLeast"/>
          <w:jc w:val="center"/>
        </w:trPr>
        <w:tc>
          <w:tcPr>
            <w:tcW w:w="3179"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R.文化、体育和娱乐业</w:t>
            </w:r>
          </w:p>
        </w:tc>
        <w:tc>
          <w:tcPr>
            <w:tcW w:w="1214"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43410</w:t>
            </w:r>
          </w:p>
        </w:tc>
        <w:tc>
          <w:tcPr>
            <w:tcW w:w="11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color w:val="000000"/>
                <w:kern w:val="0"/>
                <w:sz w:val="18"/>
                <w:szCs w:val="18"/>
                <w:lang w:val="en-US" w:eastAsia="zh-CN"/>
              </w:rPr>
              <w:t>36710</w:t>
            </w:r>
          </w:p>
        </w:tc>
        <w:tc>
          <w:tcPr>
            <w:tcW w:w="110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color w:val="000000"/>
                <w:kern w:val="0"/>
                <w:sz w:val="18"/>
                <w:szCs w:val="18"/>
                <w:lang w:val="en-US" w:eastAsia="zh-CN"/>
              </w:rPr>
              <w:t>1214.50699</w:t>
            </w:r>
          </w:p>
        </w:tc>
        <w:tc>
          <w:tcPr>
            <w:tcW w:w="1129"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color w:val="000000"/>
                <w:kern w:val="0"/>
                <w:sz w:val="18"/>
                <w:szCs w:val="18"/>
                <w:lang w:val="en-US" w:eastAsia="zh-CN"/>
              </w:rPr>
              <w:t>34.24109</w:t>
            </w:r>
          </w:p>
        </w:tc>
        <w:tc>
          <w:tcPr>
            <w:tcW w:w="1124"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color w:val="000000"/>
                <w:kern w:val="0"/>
                <w:sz w:val="18"/>
                <w:szCs w:val="18"/>
                <w:lang w:val="en-US" w:eastAsia="zh-CN"/>
              </w:rPr>
              <w:t>0.02798</w:t>
            </w:r>
          </w:p>
        </w:tc>
        <w:tc>
          <w:tcPr>
            <w:tcW w:w="119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color w:val="000000"/>
                <w:kern w:val="0"/>
                <w:sz w:val="18"/>
                <w:szCs w:val="18"/>
                <w:lang w:val="en-US" w:eastAsia="zh-CN"/>
              </w:rPr>
              <w:t>0.00093</w:t>
            </w:r>
          </w:p>
        </w:tc>
      </w:tr>
      <w:tr>
        <w:tblPrEx>
          <w:tblCellMar>
            <w:top w:w="0" w:type="dxa"/>
            <w:left w:w="108" w:type="dxa"/>
            <w:bottom w:w="0" w:type="dxa"/>
            <w:right w:w="108" w:type="dxa"/>
          </w:tblCellMar>
        </w:tblPrEx>
        <w:trPr>
          <w:trHeight w:val="439" w:hRule="atLeast"/>
          <w:jc w:val="center"/>
        </w:trPr>
        <w:tc>
          <w:tcPr>
            <w:tcW w:w="3179"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S.公共管理、社会保障和社会组织</w:t>
            </w:r>
          </w:p>
        </w:tc>
        <w:tc>
          <w:tcPr>
            <w:tcW w:w="1214"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0</w:t>
            </w:r>
          </w:p>
        </w:tc>
        <w:tc>
          <w:tcPr>
            <w:tcW w:w="11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color w:val="000000"/>
                <w:kern w:val="0"/>
                <w:sz w:val="18"/>
                <w:szCs w:val="18"/>
                <w:lang w:val="en-US" w:eastAsia="zh-CN"/>
              </w:rPr>
              <w:t>0</w:t>
            </w:r>
          </w:p>
        </w:tc>
        <w:tc>
          <w:tcPr>
            <w:tcW w:w="110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color w:val="000000"/>
                <w:kern w:val="0"/>
                <w:sz w:val="18"/>
                <w:szCs w:val="18"/>
                <w:lang w:val="en-US" w:eastAsia="zh-CN"/>
              </w:rPr>
              <w:t>0</w:t>
            </w:r>
          </w:p>
        </w:tc>
        <w:tc>
          <w:tcPr>
            <w:tcW w:w="1129"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color w:val="000000"/>
                <w:kern w:val="0"/>
                <w:sz w:val="18"/>
                <w:szCs w:val="18"/>
                <w:lang w:val="en-US" w:eastAsia="zh-CN"/>
              </w:rPr>
              <w:t>0</w:t>
            </w:r>
          </w:p>
        </w:tc>
        <w:tc>
          <w:tcPr>
            <w:tcW w:w="1124"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color w:val="000000"/>
                <w:kern w:val="0"/>
                <w:sz w:val="18"/>
                <w:szCs w:val="18"/>
                <w:lang w:val="en-US" w:eastAsia="zh-CN"/>
              </w:rPr>
              <w:t>0</w:t>
            </w:r>
          </w:p>
        </w:tc>
        <w:tc>
          <w:tcPr>
            <w:tcW w:w="119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color w:val="000000"/>
                <w:kern w:val="0"/>
                <w:sz w:val="18"/>
                <w:szCs w:val="18"/>
                <w:lang w:val="en-US" w:eastAsia="zh-CN"/>
              </w:rPr>
              <w:t>0</w:t>
            </w:r>
          </w:p>
        </w:tc>
      </w:tr>
      <w:tr>
        <w:tblPrEx>
          <w:tblCellMar>
            <w:top w:w="0" w:type="dxa"/>
            <w:left w:w="108" w:type="dxa"/>
            <w:bottom w:w="0" w:type="dxa"/>
            <w:right w:w="108" w:type="dxa"/>
          </w:tblCellMar>
        </w:tblPrEx>
        <w:trPr>
          <w:trHeight w:val="439" w:hRule="atLeast"/>
          <w:jc w:val="center"/>
        </w:trPr>
        <w:tc>
          <w:tcPr>
            <w:tcW w:w="3179"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T.国际组织</w:t>
            </w:r>
          </w:p>
        </w:tc>
        <w:tc>
          <w:tcPr>
            <w:tcW w:w="1214"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0</w:t>
            </w:r>
          </w:p>
        </w:tc>
        <w:tc>
          <w:tcPr>
            <w:tcW w:w="11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color w:val="000000"/>
                <w:kern w:val="0"/>
                <w:sz w:val="18"/>
                <w:szCs w:val="18"/>
                <w:lang w:val="en-US" w:eastAsia="zh-CN"/>
              </w:rPr>
              <w:t>0</w:t>
            </w:r>
          </w:p>
        </w:tc>
        <w:tc>
          <w:tcPr>
            <w:tcW w:w="110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color w:val="000000"/>
                <w:kern w:val="0"/>
                <w:sz w:val="18"/>
                <w:szCs w:val="18"/>
                <w:lang w:val="en-US" w:eastAsia="zh-CN"/>
              </w:rPr>
              <w:t>0</w:t>
            </w:r>
          </w:p>
        </w:tc>
        <w:tc>
          <w:tcPr>
            <w:tcW w:w="1129"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color w:val="000000"/>
                <w:kern w:val="0"/>
                <w:sz w:val="18"/>
                <w:szCs w:val="18"/>
                <w:lang w:val="en-US" w:eastAsia="zh-CN"/>
              </w:rPr>
              <w:t>0</w:t>
            </w:r>
          </w:p>
        </w:tc>
        <w:tc>
          <w:tcPr>
            <w:tcW w:w="1124"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color w:val="000000"/>
                <w:kern w:val="0"/>
                <w:sz w:val="18"/>
                <w:szCs w:val="18"/>
                <w:lang w:val="en-US" w:eastAsia="zh-CN"/>
              </w:rPr>
              <w:t>0</w:t>
            </w:r>
          </w:p>
        </w:tc>
        <w:tc>
          <w:tcPr>
            <w:tcW w:w="119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color w:val="000000"/>
                <w:kern w:val="0"/>
                <w:sz w:val="18"/>
                <w:szCs w:val="18"/>
                <w:lang w:val="en-US" w:eastAsia="zh-CN"/>
              </w:rPr>
              <w:t>0</w:t>
            </w:r>
          </w:p>
        </w:tc>
      </w:tr>
      <w:tr>
        <w:tblPrEx>
          <w:tblCellMar>
            <w:top w:w="0" w:type="dxa"/>
            <w:left w:w="108" w:type="dxa"/>
            <w:bottom w:w="0" w:type="dxa"/>
            <w:right w:w="108" w:type="dxa"/>
          </w:tblCellMar>
        </w:tblPrEx>
        <w:trPr>
          <w:trHeight w:val="439" w:hRule="atLeast"/>
          <w:jc w:val="center"/>
        </w:trPr>
        <w:tc>
          <w:tcPr>
            <w:tcW w:w="3179"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总计</w:t>
            </w:r>
          </w:p>
        </w:tc>
        <w:tc>
          <w:tcPr>
            <w:tcW w:w="1214"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18"/>
                <w:szCs w:val="18"/>
                <w14:textFill>
                  <w14:solidFill>
                    <w14:schemeClr w14:val="tx1"/>
                  </w14:solidFill>
                </w14:textFill>
              </w:rPr>
            </w:pPr>
            <w:r>
              <w:rPr>
                <w:rFonts w:hint="eastAsia" w:ascii="宋体" w:hAnsi="宋体" w:eastAsia="宋体" w:cs="宋体"/>
                <w:b w:val="0"/>
                <w:bCs/>
                <w:color w:val="000000"/>
                <w:kern w:val="0"/>
                <w:sz w:val="18"/>
                <w:szCs w:val="18"/>
                <w:lang w:val="en-US" w:eastAsia="zh-CN"/>
              </w:rPr>
              <w:t>14667747.94</w:t>
            </w:r>
          </w:p>
        </w:tc>
        <w:tc>
          <w:tcPr>
            <w:tcW w:w="11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color w:val="000000"/>
                <w:kern w:val="0"/>
                <w:sz w:val="18"/>
                <w:szCs w:val="18"/>
                <w:lang w:val="en-US" w:eastAsia="zh-CN"/>
              </w:rPr>
              <w:t>10422618.41462</w:t>
            </w:r>
          </w:p>
        </w:tc>
        <w:tc>
          <w:tcPr>
            <w:tcW w:w="110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color w:val="000000"/>
                <w:kern w:val="0"/>
                <w:sz w:val="18"/>
                <w:szCs w:val="18"/>
                <w:lang w:val="en-US" w:eastAsia="zh-CN"/>
              </w:rPr>
              <w:t>374159.60183</w:t>
            </w:r>
          </w:p>
        </w:tc>
        <w:tc>
          <w:tcPr>
            <w:tcW w:w="1129"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color w:val="000000"/>
                <w:kern w:val="0"/>
                <w:sz w:val="18"/>
                <w:szCs w:val="18"/>
                <w:lang w:val="en-US" w:eastAsia="zh-CN"/>
              </w:rPr>
              <w:t>214547.13267</w:t>
            </w:r>
          </w:p>
        </w:tc>
        <w:tc>
          <w:tcPr>
            <w:tcW w:w="1124"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color w:val="000000"/>
                <w:kern w:val="0"/>
                <w:sz w:val="18"/>
                <w:szCs w:val="18"/>
                <w:lang w:val="en-US" w:eastAsia="zh-CN"/>
              </w:rPr>
              <w:t>0.02551</w:t>
            </w:r>
          </w:p>
        </w:tc>
        <w:tc>
          <w:tcPr>
            <w:tcW w:w="119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b w:val="0"/>
                <w:bCs/>
                <w:color w:val="000000" w:themeColor="text1"/>
                <w:kern w:val="0"/>
                <w:sz w:val="20"/>
                <w:szCs w:val="20"/>
                <w14:textFill>
                  <w14:solidFill>
                    <w14:schemeClr w14:val="tx1"/>
                  </w14:solidFill>
                </w14:textFill>
              </w:rPr>
            </w:pPr>
            <w:r>
              <w:rPr>
                <w:rFonts w:hint="eastAsia" w:ascii="宋体" w:hAnsi="宋体" w:eastAsia="宋体" w:cs="宋体"/>
                <w:b w:val="0"/>
                <w:bCs/>
                <w:color w:val="000000"/>
                <w:kern w:val="0"/>
                <w:sz w:val="18"/>
                <w:szCs w:val="18"/>
                <w:lang w:val="en-US" w:eastAsia="zh-CN"/>
              </w:rPr>
              <w:t>0.02058</w:t>
            </w:r>
          </w:p>
        </w:tc>
      </w:tr>
    </w:tbl>
    <w:p>
      <w:pPr>
        <w:rPr>
          <w:rFonts w:hint="eastAsia"/>
          <w:b w:val="0"/>
          <w:bCs/>
          <w:color w:val="000000" w:themeColor="text1"/>
          <w:lang w:val="en-US" w:eastAsia="zh-CN"/>
          <w14:textFill>
            <w14:solidFill>
              <w14:schemeClr w14:val="tx1"/>
            </w14:solidFill>
          </w14:textFill>
        </w:rPr>
      </w:pPr>
      <w:r>
        <w:rPr>
          <w:rFonts w:hint="eastAsia"/>
          <w:b w:val="0"/>
          <w:bCs/>
          <w:color w:val="000000" w:themeColor="text1"/>
          <w:lang w:val="en-US" w:eastAsia="zh-CN"/>
          <w14:textFill>
            <w14:solidFill>
              <w14:schemeClr w14:val="tx1"/>
            </w14:solidFill>
          </w14:textFill>
        </w:rPr>
        <w:br w:type="page"/>
      </w:r>
    </w:p>
    <w:p>
      <w:pPr>
        <w:pStyle w:val="18"/>
        <w:keepNext w:val="0"/>
        <w:keepLines w:val="0"/>
        <w:pageBreakBefore w:val="0"/>
        <w:numPr>
          <w:ilvl w:val="0"/>
          <w:numId w:val="6"/>
        </w:numPr>
        <w:tabs>
          <w:tab w:val="right" w:leader="dot" w:pos="9897"/>
        </w:tabs>
        <w:kinsoku/>
        <w:wordWrap/>
        <w:overflowPunct/>
        <w:topLinePunct w:val="0"/>
        <w:bidi w:val="0"/>
        <w:adjustRightInd w:val="0"/>
        <w:snapToGrid w:val="0"/>
        <w:spacing w:line="240" w:lineRule="auto"/>
        <w:ind w:left="0" w:leftChars="0" w:firstLine="0" w:firstLineChars="0"/>
        <w:jc w:val="center"/>
        <w:outlineLvl w:val="0"/>
        <w:rPr>
          <w:rFonts w:hint="eastAsia" w:ascii="微软雅黑" w:hAnsi="微软雅黑" w:eastAsia="微软雅黑" w:cs="微软雅黑"/>
          <w:b w:val="0"/>
          <w:bCs/>
          <w:color w:val="00B050"/>
          <w:kern w:val="2"/>
          <w:sz w:val="32"/>
          <w:szCs w:val="32"/>
          <w:lang w:val="en-US" w:eastAsia="zh-CN" w:bidi="ar-SA"/>
        </w:rPr>
      </w:pPr>
      <w:bookmarkStart w:id="35" w:name="_Toc5913"/>
      <w:r>
        <w:rPr>
          <w:rFonts w:hint="eastAsia" w:ascii="微软雅黑" w:hAnsi="微软雅黑" w:eastAsia="微软雅黑" w:cs="微软雅黑"/>
          <w:b w:val="0"/>
          <w:bCs/>
          <w:color w:val="00B050"/>
          <w:kern w:val="2"/>
          <w:sz w:val="32"/>
          <w:szCs w:val="32"/>
          <w:lang w:val="en-US" w:eastAsia="zh-CN" w:bidi="ar-SA"/>
        </w:rPr>
        <w:t>绿色信贷的节能减排</w:t>
      </w:r>
      <w:bookmarkEnd w:id="35"/>
    </w:p>
    <w:p>
      <w:pPr>
        <w:keepNext w:val="0"/>
        <w:keepLines w:val="0"/>
        <w:pageBreakBefore w:val="0"/>
        <w:widowControl/>
        <w:numPr>
          <w:ilvl w:val="0"/>
          <w:numId w:val="0"/>
        </w:numPr>
        <w:kinsoku/>
        <w:wordWrap/>
        <w:overflowPunct/>
        <w:topLinePunct w:val="0"/>
        <w:autoSpaceDE w:val="0"/>
        <w:autoSpaceDN w:val="0"/>
        <w:bidi w:val="0"/>
        <w:adjustRightInd w:val="0"/>
        <w:snapToGrid w:val="0"/>
        <w:spacing w:before="149" w:beforeLines="50" w:line="240" w:lineRule="auto"/>
        <w:ind w:left="0" w:leftChars="0" w:firstLine="0" w:firstLineChars="0"/>
        <w:textAlignment w:val="baseline"/>
        <w:outlineLvl w:val="0"/>
        <w:rPr>
          <w:rFonts w:hint="eastAsia" w:ascii="微软雅黑" w:hAnsi="微软雅黑" w:eastAsia="微软雅黑" w:cs="微软雅黑"/>
          <w:b w:val="0"/>
          <w:bCs/>
          <w:color w:val="000000" w:themeColor="text1"/>
          <w:kern w:val="2"/>
          <w:sz w:val="28"/>
          <w:szCs w:val="28"/>
          <w:lang w:val="en-US" w:eastAsia="zh-CN" w:bidi="ar-SA"/>
          <w14:textFill>
            <w14:solidFill>
              <w14:schemeClr w14:val="tx1"/>
            </w14:solidFill>
          </w14:textFill>
        </w:rPr>
      </w:pPr>
      <w:bookmarkStart w:id="36" w:name="_Toc2047"/>
      <w:r>
        <w:rPr>
          <w:rFonts w:hint="eastAsia" w:ascii="微软雅黑" w:hAnsi="微软雅黑" w:eastAsia="微软雅黑" w:cs="微软雅黑"/>
          <w:b w:val="0"/>
          <w:bCs/>
          <w:color w:val="000000" w:themeColor="text1"/>
          <w:kern w:val="2"/>
          <w:sz w:val="28"/>
          <w:szCs w:val="28"/>
          <w:lang w:val="en-US" w:eastAsia="zh-CN" w:bidi="ar-SA"/>
          <w14:textFill>
            <w14:solidFill>
              <w14:schemeClr w14:val="tx1"/>
            </w14:solidFill>
          </w14:textFill>
        </w:rPr>
        <w:t>8.1 绿色信贷（项目业务）</w:t>
      </w:r>
      <w:bookmarkEnd w:id="36"/>
    </w:p>
    <w:p>
      <w:pPr>
        <w:widowControl/>
        <w:kinsoku w:val="0"/>
        <w:autoSpaceDE w:val="0"/>
        <w:autoSpaceDN w:val="0"/>
        <w:adjustRightInd w:val="0"/>
        <w:snapToGrid w:val="0"/>
        <w:spacing w:before="156" w:beforeLines="50" w:line="240" w:lineRule="auto"/>
        <w:ind w:firstLine="504"/>
        <w:textAlignment w:val="baseline"/>
        <w:rPr>
          <w:rFonts w:hint="eastAsia" w:ascii="方正仿宋_GBK" w:hAnsi="方正仿宋_GBK" w:cs="方正仿宋_GBK"/>
          <w:b w:val="0"/>
          <w:bCs/>
          <w:i w:val="0"/>
          <w:iCs w:val="0"/>
          <w:color w:val="000000" w:themeColor="text1"/>
          <w:kern w:val="0"/>
          <w:sz w:val="20"/>
          <w:szCs w:val="20"/>
          <w:u w:val="none"/>
          <w:lang w:val="en-US" w:eastAsia="zh-CN" w:bidi="ar"/>
          <w14:textFill>
            <w14:solidFill>
              <w14:schemeClr w14:val="tx1"/>
            </w14:solidFill>
          </w14:textFill>
        </w:rPr>
      </w:pPr>
      <w:r>
        <w:rPr>
          <w:rFonts w:hint="eastAsia" w:ascii="仿宋" w:hAnsi="仿宋" w:eastAsia="仿宋" w:cs="仿宋"/>
          <w:b w:val="0"/>
          <w:bCs/>
          <w:snapToGrid w:val="0"/>
          <w:color w:val="000000" w:themeColor="text1"/>
          <w:spacing w:val="6"/>
          <w:kern w:val="0"/>
          <w:sz w:val="24"/>
          <w:szCs w:val="24"/>
          <w14:textFill>
            <w14:solidFill>
              <w14:schemeClr w14:val="tx1"/>
            </w14:solidFill>
          </w14:textFill>
        </w:rPr>
        <w:t>报告年度内本行绿色信贷（项目业务）折合减排二氧化碳当量</w:t>
      </w:r>
      <w:r>
        <w:rPr>
          <w:rFonts w:hint="eastAsia" w:ascii="仿宋" w:hAnsi="仿宋" w:eastAsia="仿宋" w:cs="仿宋"/>
          <w:b w:val="0"/>
          <w:bCs/>
          <w:snapToGrid w:val="0"/>
          <w:color w:val="000000" w:themeColor="text1"/>
          <w:spacing w:val="6"/>
          <w:kern w:val="0"/>
          <w:sz w:val="24"/>
          <w:szCs w:val="24"/>
          <w:u w:val="single"/>
          <w:lang w:val="en-US" w:eastAsia="zh-CN"/>
          <w14:textFill>
            <w14:solidFill>
              <w14:schemeClr w14:val="tx1"/>
            </w14:solidFill>
          </w14:textFill>
        </w:rPr>
        <w:t xml:space="preserve"> </w:t>
      </w:r>
      <w:r>
        <w:rPr>
          <w:rFonts w:ascii="仿宋" w:hAnsi="仿宋" w:eastAsia="仿宋" w:cs="仿宋"/>
          <w:color w:val="000000"/>
          <w:spacing w:val="6"/>
          <w:sz w:val="24"/>
          <w:u w:val="single" w:color="auto"/>
        </w:rPr>
        <w:t>101.52</w:t>
      </w:r>
      <w:r>
        <w:rPr>
          <w:rFonts w:hint="eastAsia" w:ascii="仿宋" w:hAnsi="仿宋" w:eastAsia="仿宋" w:cs="仿宋"/>
          <w:b w:val="0"/>
          <w:bCs/>
          <w:i w:val="0"/>
          <w:iCs w:val="0"/>
          <w:snapToGrid w:val="0"/>
          <w:color w:val="000000" w:themeColor="text1"/>
          <w:spacing w:val="6"/>
          <w:kern w:val="0"/>
          <w:sz w:val="24"/>
          <w:szCs w:val="24"/>
          <w:u w:val="single"/>
          <w:lang w:val="en-US" w:eastAsia="zh-CN"/>
          <w14:textFill>
            <w14:solidFill>
              <w14:schemeClr w14:val="tx1"/>
            </w14:solidFill>
          </w14:textFill>
        </w:rPr>
        <w:t xml:space="preserve"> </w:t>
      </w:r>
      <w:r>
        <w:rPr>
          <w:rFonts w:hint="eastAsia" w:ascii="仿宋" w:hAnsi="仿宋" w:eastAsia="仿宋" w:cs="仿宋"/>
          <w:b w:val="0"/>
          <w:bCs/>
          <w:snapToGrid w:val="0"/>
          <w:color w:val="000000" w:themeColor="text1"/>
          <w:spacing w:val="6"/>
          <w:kern w:val="0"/>
          <w:sz w:val="24"/>
          <w:szCs w:val="24"/>
          <w14:textFill>
            <w14:solidFill>
              <w14:schemeClr w14:val="tx1"/>
            </w14:solidFill>
          </w14:textFill>
        </w:rPr>
        <w:t>tCO</w:t>
      </w:r>
      <w:r>
        <w:rPr>
          <w:rFonts w:hint="eastAsia" w:ascii="仿宋" w:hAnsi="仿宋" w:eastAsia="仿宋" w:cs="仿宋"/>
          <w:b w:val="0"/>
          <w:bCs/>
          <w:snapToGrid w:val="0"/>
          <w:color w:val="000000" w:themeColor="text1"/>
          <w:spacing w:val="6"/>
          <w:kern w:val="0"/>
          <w:sz w:val="24"/>
          <w:szCs w:val="24"/>
          <w:vertAlign w:val="subscript"/>
          <w14:textFill>
            <w14:solidFill>
              <w14:schemeClr w14:val="tx1"/>
            </w14:solidFill>
          </w14:textFill>
        </w:rPr>
        <w:t>2</w:t>
      </w:r>
      <w:r>
        <w:rPr>
          <w:rFonts w:hint="eastAsia" w:ascii="仿宋" w:hAnsi="仿宋" w:eastAsia="仿宋" w:cs="仿宋"/>
          <w:b w:val="0"/>
          <w:bCs/>
          <w:snapToGrid w:val="0"/>
          <w:color w:val="000000" w:themeColor="text1"/>
          <w:spacing w:val="6"/>
          <w:kern w:val="0"/>
          <w:sz w:val="24"/>
          <w:szCs w:val="24"/>
          <w14:textFill>
            <w14:solidFill>
              <w14:schemeClr w14:val="tx1"/>
            </w14:solidFill>
          </w14:textFill>
        </w:rPr>
        <w:t>e，折合减排标准煤</w:t>
      </w:r>
      <w:r>
        <w:rPr>
          <w:rFonts w:hint="eastAsia" w:ascii="仿宋" w:hAnsi="仿宋" w:eastAsia="仿宋" w:cs="仿宋"/>
          <w:b w:val="0"/>
          <w:bCs/>
          <w:i w:val="0"/>
          <w:iCs w:val="0"/>
          <w:snapToGrid w:val="0"/>
          <w:color w:val="000000" w:themeColor="text1"/>
          <w:spacing w:val="6"/>
          <w:kern w:val="0"/>
          <w:sz w:val="24"/>
          <w:szCs w:val="24"/>
          <w:u w:val="single"/>
          <w:lang w:val="en-US" w:eastAsia="zh-CN"/>
          <w14:textFill>
            <w14:solidFill>
              <w14:schemeClr w14:val="tx1"/>
            </w14:solidFill>
          </w14:textFill>
        </w:rPr>
        <w:t xml:space="preserve"> </w:t>
      </w:r>
      <w:r>
        <w:rPr>
          <w:rFonts w:hint="eastAsia" w:ascii="仿宋" w:hAnsi="仿宋" w:eastAsia="仿宋" w:cs="仿宋"/>
          <w:b w:val="0"/>
          <w:bCs/>
          <w:snapToGrid w:val="0"/>
          <w:color w:val="000000" w:themeColor="text1"/>
          <w:spacing w:val="6"/>
          <w:kern w:val="0"/>
          <w:sz w:val="24"/>
          <w:szCs w:val="24"/>
          <w:u w:val="single"/>
          <w:lang w:val="en-US" w:eastAsia="zh-CN"/>
          <w14:textFill>
            <w14:solidFill>
              <w14:schemeClr w14:val="tx1"/>
            </w14:solidFill>
          </w14:textFill>
        </w:rPr>
        <w:t>67.23</w:t>
      </w:r>
      <w:r>
        <w:rPr>
          <w:rFonts w:ascii="仿宋" w:hAnsi="仿宋" w:eastAsia="仿宋" w:cs="仿宋"/>
          <w:b w:val="0"/>
          <w:bCs/>
          <w:color w:val="000000" w:themeColor="text1"/>
          <w:spacing w:val="6"/>
          <w:sz w:val="24"/>
          <w:u w:val="single"/>
          <w14:textFill>
            <w14:solidFill>
              <w14:schemeClr w14:val="tx1"/>
            </w14:solidFill>
          </w14:textFill>
        </w:rPr>
        <w:t xml:space="preserve"> </w:t>
      </w:r>
      <w:r>
        <w:rPr>
          <w:rFonts w:hint="eastAsia" w:ascii="仿宋" w:hAnsi="仿宋" w:eastAsia="仿宋" w:cs="仿宋"/>
          <w:b w:val="0"/>
          <w:bCs/>
          <w:snapToGrid w:val="0"/>
          <w:color w:val="000000" w:themeColor="text1"/>
          <w:spacing w:val="6"/>
          <w:kern w:val="0"/>
          <w:sz w:val="24"/>
          <w:szCs w:val="24"/>
          <w14:textFill>
            <w14:solidFill>
              <w14:schemeClr w14:val="tx1"/>
            </w14:solidFill>
          </w14:textFill>
        </w:rPr>
        <w:t>吨</w:t>
      </w:r>
      <w:r>
        <w:rPr>
          <w:rFonts w:hint="eastAsia" w:ascii="方正仿宋_GBK" w:hAnsi="方正仿宋_GBK" w:cs="方正仿宋_GBK"/>
          <w:b w:val="0"/>
          <w:bCs/>
          <w:i w:val="0"/>
          <w:iCs w:val="0"/>
          <w:color w:val="000000" w:themeColor="text1"/>
          <w:kern w:val="0"/>
          <w:sz w:val="20"/>
          <w:szCs w:val="20"/>
          <w:u w:val="none"/>
          <w:lang w:val="en-US" w:eastAsia="zh-CN" w:bidi="ar"/>
          <w14:textFill>
            <w14:solidFill>
              <w14:schemeClr w14:val="tx1"/>
            </w14:solidFill>
          </w14:textFill>
        </w:rPr>
        <w:t>。</w:t>
      </w:r>
    </w:p>
    <w:p>
      <w:pPr>
        <w:widowControl/>
        <w:spacing w:line="240" w:lineRule="auto"/>
        <w:ind w:firstLine="0" w:firstLineChars="0"/>
        <w:jc w:val="center"/>
        <w:rPr>
          <w:rFonts w:hint="eastAsia" w:ascii="宋体" w:hAnsi="宋体" w:eastAsia="宋体" w:cs="宋体"/>
          <w:b w:val="0"/>
          <w:bCs/>
          <w:color w:val="0070C0"/>
          <w:kern w:val="0"/>
          <w:sz w:val="18"/>
          <w:szCs w:val="18"/>
          <w:lang w:val="en-US" w:eastAsia="zh-CN"/>
        </w:rPr>
      </w:pPr>
      <w:r>
        <w:rPr>
          <w:rFonts w:hint="eastAsia" w:ascii="宋体" w:hAnsi="宋体" w:eastAsia="宋体" w:cs="宋体"/>
          <w:b w:val="0"/>
          <w:bCs/>
          <w:color w:val="0070C0"/>
          <w:kern w:val="0"/>
          <w:sz w:val="18"/>
          <w:szCs w:val="18"/>
          <w:lang w:val="en-US" w:eastAsia="zh-CN"/>
        </w:rPr>
        <w:t>8-1-1绿色信贷-项目业务的节能减排</w:t>
      </w:r>
    </w:p>
    <w:tbl>
      <w:tblPr>
        <w:tblStyle w:val="21"/>
        <w:tblW w:w="9380" w:type="dxa"/>
        <w:tblInd w:w="9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116"/>
        <w:gridCol w:w="2300"/>
        <w:gridCol w:w="1806"/>
        <w:gridCol w:w="1536"/>
        <w:gridCol w:w="162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441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r>
              <w:rPr>
                <w:rFonts w:ascii="宋体" w:hAnsi="宋体" w:eastAsia="宋体" w:cs="宋体"/>
                <w:b/>
                <w:sz w:val="18"/>
              </w:rPr>
              <w:t>指标名称</w:t>
            </w:r>
          </w:p>
        </w:tc>
        <w:tc>
          <w:tcPr>
            <w:tcW w:w="4964"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center"/>
              <w:textAlignment w:val="center"/>
              <w:rPr>
                <w:rFonts w:hint="default" w:ascii="宋体" w:hAnsi="宋体" w:eastAsia="宋体" w:cs="宋体"/>
                <w:b/>
                <w:bCs w:val="0"/>
                <w:i w:val="0"/>
                <w:iCs w:val="0"/>
                <w:color w:val="000000" w:themeColor="text1"/>
                <w:sz w:val="22"/>
                <w:szCs w:val="22"/>
                <w:u w:val="none"/>
                <w:lang w:val="en-US"/>
                <w14:textFill>
                  <w14:solidFill>
                    <w14:schemeClr w14:val="tx1"/>
                  </w14:solidFill>
                </w14:textFill>
              </w:rPr>
            </w:pPr>
            <w:r>
              <w:rPr>
                <w:rFonts w:hint="eastAsia" w:ascii="宋体" w:hAnsi="宋体" w:eastAsia="宋体" w:cs="宋体"/>
                <w:b/>
                <w:bCs w:val="0"/>
                <w:color w:val="000000" w:themeColor="text1"/>
                <w:kern w:val="0"/>
                <w:sz w:val="18"/>
                <w:szCs w:val="18"/>
                <w:lang w:val="en-US" w:eastAsia="zh-CN"/>
                <w14:textFill>
                  <w14:solidFill>
                    <w14:schemeClr w14:val="tx1"/>
                  </w14:solidFill>
                </w14:textFill>
              </w:rPr>
              <w:t>项目业务的占比情况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441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b/>
                <w:bCs w:val="0"/>
                <w:i w:val="0"/>
                <w:iCs w:val="0"/>
                <w:color w:val="000000" w:themeColor="text1"/>
                <w:sz w:val="20"/>
                <w:szCs w:val="20"/>
                <w:u w:val="none"/>
                <w14:textFill>
                  <w14:solidFill>
                    <w14:schemeClr w14:val="tx1"/>
                  </w14:solidFill>
                </w14:textFill>
              </w:rPr>
            </w:pPr>
          </w:p>
        </w:tc>
        <w:tc>
          <w:tcPr>
            <w:tcW w:w="18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default" w:ascii="宋体" w:hAnsi="宋体" w:eastAsia="宋体" w:cs="宋体"/>
                <w:b/>
                <w:bCs w:val="0"/>
                <w:i w:val="0"/>
                <w:iCs w:val="0"/>
                <w:color w:val="000000" w:themeColor="text1"/>
                <w:sz w:val="22"/>
                <w:szCs w:val="22"/>
                <w:u w:val="none"/>
                <w:lang w:val="en-US"/>
                <w14:textFill>
                  <w14:solidFill>
                    <w14:schemeClr w14:val="tx1"/>
                  </w14:solidFill>
                </w14:textFill>
              </w:rPr>
            </w:pPr>
            <w:r>
              <w:rPr>
                <w:rFonts w:hint="eastAsia" w:ascii="宋体" w:hAnsi="宋体" w:eastAsia="宋体" w:cs="宋体"/>
                <w:b/>
                <w:bCs w:val="0"/>
                <w:i w:val="0"/>
                <w:iCs w:val="0"/>
                <w:color w:val="000000" w:themeColor="text1"/>
                <w:kern w:val="0"/>
                <w:sz w:val="22"/>
                <w:szCs w:val="22"/>
                <w:u w:val="none"/>
                <w:lang w:val="en-US" w:eastAsia="zh-CN" w:bidi="ar"/>
                <w14:textFill>
                  <w14:solidFill>
                    <w14:schemeClr w14:val="tx1"/>
                  </w14:solidFill>
                </w14:textFill>
              </w:rPr>
              <w:t>2025</w:t>
            </w:r>
            <w:r>
              <w:rPr>
                <w:rFonts w:ascii="宋体" w:hAnsi="宋体" w:eastAsia="宋体" w:cs="宋体"/>
                <w:b/>
                <w:color w:val="000000"/>
                <w:sz w:val="22"/>
                <w:u w:color="auto"/>
              </w:rPr>
              <w:t>年</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b/>
                <w:bCs w:val="0"/>
                <w:i w:val="0"/>
                <w:iCs w:val="0"/>
                <w:color w:val="000000" w:themeColor="text1"/>
                <w:sz w:val="22"/>
                <w:szCs w:val="22"/>
                <w:u w:val="none"/>
                <w14:textFill>
                  <w14:solidFill>
                    <w14:schemeClr w14:val="tx1"/>
                  </w14:solidFill>
                </w14:textFill>
              </w:rPr>
            </w:pPr>
            <w:r>
              <w:rPr>
                <w:rFonts w:hint="eastAsia" w:ascii="宋体" w:hAnsi="宋体" w:eastAsia="宋体" w:cs="宋体"/>
                <w:b/>
                <w:bCs w:val="0"/>
                <w:i w:val="0"/>
                <w:iCs w:val="0"/>
                <w:color w:val="000000" w:themeColor="text1"/>
                <w:kern w:val="0"/>
                <w:sz w:val="22"/>
                <w:szCs w:val="22"/>
                <w:u w:val="none"/>
                <w:lang w:val="en-US" w:eastAsia="zh-CN" w:bidi="ar"/>
                <w14:textFill>
                  <w14:solidFill>
                    <w14:schemeClr w14:val="tx1"/>
                  </w14:solidFill>
                </w14:textFill>
              </w:rPr>
              <w:t>2024</w:t>
            </w:r>
            <w:r>
              <w:rPr>
                <w:rFonts w:ascii="宋体" w:hAnsi="宋体" w:eastAsia="宋体" w:cs="宋体"/>
                <w:b/>
                <w:color w:val="000000"/>
                <w:sz w:val="22"/>
                <w:u w:color="auto"/>
              </w:rPr>
              <w:t>年</w:t>
            </w:r>
          </w:p>
        </w:tc>
        <w:tc>
          <w:tcPr>
            <w:tcW w:w="16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b/>
                <w:bCs w:val="0"/>
                <w:i w:val="0"/>
                <w:iCs w:val="0"/>
                <w:color w:val="000000" w:themeColor="text1"/>
                <w:sz w:val="22"/>
                <w:szCs w:val="22"/>
                <w:u w:val="none"/>
                <w14:textFill>
                  <w14:solidFill>
                    <w14:schemeClr w14:val="tx1"/>
                  </w14:solidFill>
                </w14:textFill>
              </w:rPr>
            </w:pPr>
            <w:r>
              <w:rPr>
                <w:rFonts w:hint="eastAsia" w:ascii="宋体" w:hAnsi="宋体" w:eastAsia="宋体" w:cs="宋体"/>
                <w:b/>
                <w:bCs w:val="0"/>
                <w:i w:val="0"/>
                <w:iCs w:val="0"/>
                <w:color w:val="000000" w:themeColor="text1"/>
                <w:kern w:val="0"/>
                <w:sz w:val="22"/>
                <w:szCs w:val="22"/>
                <w:u w:val="none"/>
                <w:lang w:val="en-US" w:eastAsia="zh-CN" w:bidi="ar"/>
                <w14:textFill>
                  <w14:solidFill>
                    <w14:schemeClr w14:val="tx1"/>
                  </w14:solidFill>
                </w14:textFill>
              </w:rPr>
              <w:t>同比变化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4" w:hRule="atLeast"/>
        </w:trPr>
        <w:tc>
          <w:tcPr>
            <w:tcW w:w="21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ascii="宋体" w:hAnsi="宋体" w:eastAsia="宋体" w:cs="宋体"/>
                <w:b w:val="0"/>
                <w:bCs/>
                <w:color w:val="000000"/>
                <w:kern w:val="0"/>
                <w:sz w:val="18"/>
                <w:szCs w:val="18"/>
                <w:lang w:val="en-US" w:eastAsia="zh-CN"/>
              </w:rPr>
            </w:pPr>
            <w:r>
              <w:rPr>
                <w:rFonts w:hint="eastAsia" w:ascii="宋体" w:hAnsi="宋体" w:eastAsia="宋体" w:cs="宋体"/>
                <w:b w:val="0"/>
                <w:bCs/>
                <w:color w:val="000000"/>
                <w:kern w:val="0"/>
                <w:sz w:val="18"/>
                <w:szCs w:val="18"/>
                <w:lang w:val="en-US" w:eastAsia="zh-CN"/>
              </w:rPr>
              <w:t>绿色信贷余额及占比</w:t>
            </w:r>
          </w:p>
        </w:tc>
        <w:tc>
          <w:tcPr>
            <w:tcW w:w="23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ascii="宋体" w:hAnsi="宋体" w:eastAsia="宋体" w:cs="宋体"/>
                <w:b w:val="0"/>
                <w:bCs/>
                <w:color w:val="000000"/>
                <w:kern w:val="0"/>
                <w:sz w:val="18"/>
                <w:szCs w:val="18"/>
                <w:lang w:val="en-US" w:eastAsia="zh-CN"/>
              </w:rPr>
            </w:pPr>
            <w:r>
              <w:rPr>
                <w:rFonts w:hint="eastAsia" w:ascii="宋体" w:hAnsi="宋体" w:eastAsia="宋体" w:cs="宋体"/>
                <w:b w:val="0"/>
                <w:bCs/>
                <w:color w:val="000000"/>
                <w:kern w:val="0"/>
                <w:sz w:val="18"/>
                <w:szCs w:val="18"/>
                <w:lang w:val="en-US" w:eastAsia="zh-CN"/>
              </w:rPr>
              <w:t>绿色信贷余额（万元）</w:t>
            </w:r>
          </w:p>
        </w:tc>
        <w:tc>
          <w:tcPr>
            <w:tcW w:w="18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default" w:ascii="宋体" w:hAnsi="宋体" w:eastAsia="宋体" w:cs="宋体"/>
                <w:b w:val="0"/>
                <w:bCs/>
                <w:color w:val="000000"/>
                <w:kern w:val="0"/>
                <w:sz w:val="18"/>
                <w:szCs w:val="18"/>
                <w:lang w:val="en-US" w:eastAsia="zh-CN"/>
              </w:rPr>
            </w:pPr>
            <w:r>
              <w:rPr>
                <w:rFonts w:hint="eastAsia" w:ascii="宋体" w:hAnsi="宋体" w:eastAsia="宋体" w:cs="宋体"/>
                <w:b w:val="0"/>
                <w:bCs/>
                <w:color w:val="000000"/>
                <w:kern w:val="0"/>
                <w:sz w:val="18"/>
                <w:szCs w:val="18"/>
                <w:lang w:val="en-US" w:eastAsia="zh-CN"/>
              </w:rPr>
              <w:t>71493.5</w:t>
            </w: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default" w:ascii="宋体" w:hAnsi="宋体" w:eastAsia="宋体" w:cs="宋体"/>
                <w:b w:val="0"/>
                <w:bCs/>
                <w:color w:val="000000"/>
                <w:kern w:val="0"/>
                <w:sz w:val="18"/>
                <w:szCs w:val="18"/>
                <w:lang w:val="en-US" w:eastAsia="zh-CN"/>
              </w:rPr>
            </w:pPr>
            <w:r>
              <w:rPr>
                <w:rFonts w:hint="eastAsia" w:ascii="宋体" w:hAnsi="宋体" w:eastAsia="宋体" w:cs="宋体"/>
                <w:b w:val="0"/>
                <w:bCs/>
                <w:color w:val="000000"/>
                <w:kern w:val="0"/>
                <w:sz w:val="18"/>
                <w:szCs w:val="18"/>
                <w:lang w:val="en-US" w:eastAsia="zh-CN"/>
              </w:rPr>
              <w:t>55516.5</w:t>
            </w:r>
          </w:p>
        </w:tc>
        <w:tc>
          <w:tcPr>
            <w:tcW w:w="1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default" w:ascii="宋体" w:hAnsi="宋体" w:eastAsia="宋体" w:cs="宋体"/>
                <w:b w:val="0"/>
                <w:bCs/>
                <w:color w:val="000000"/>
                <w:kern w:val="0"/>
                <w:sz w:val="18"/>
                <w:szCs w:val="18"/>
                <w:lang w:val="en-US" w:eastAsia="zh-CN"/>
              </w:rPr>
            </w:pPr>
            <w:r>
              <w:rPr>
                <w:rFonts w:hint="eastAsia" w:ascii="宋体" w:hAnsi="宋体" w:eastAsia="宋体" w:cs="宋体"/>
                <w:b w:val="0"/>
                <w:bCs/>
                <w:color w:val="000000"/>
                <w:kern w:val="0"/>
                <w:sz w:val="18"/>
                <w:szCs w:val="18"/>
                <w:lang w:val="en-US" w:eastAsia="zh-CN"/>
              </w:rPr>
              <w:t>28.78%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4" w:hRule="atLeast"/>
        </w:trPr>
        <w:tc>
          <w:tcPr>
            <w:tcW w:w="21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ascii="宋体" w:hAnsi="宋体" w:eastAsia="宋体" w:cs="宋体"/>
                <w:b w:val="0"/>
                <w:bCs/>
                <w:color w:val="000000"/>
                <w:kern w:val="0"/>
                <w:sz w:val="18"/>
                <w:szCs w:val="18"/>
                <w:lang w:val="en-US" w:eastAsia="zh-CN"/>
              </w:rPr>
            </w:pPr>
            <w:r>
              <w:rPr>
                <w:rFonts w:hint="eastAsia" w:ascii="宋体" w:hAnsi="宋体" w:eastAsia="宋体" w:cs="宋体"/>
                <w:b w:val="0"/>
                <w:bCs/>
                <w:color w:val="000000"/>
                <w:kern w:val="0"/>
                <w:sz w:val="18"/>
                <w:szCs w:val="18"/>
                <w:lang w:val="en-US" w:eastAsia="zh-CN"/>
              </w:rPr>
              <w:t>绿色信贷余额及占比</w:t>
            </w:r>
          </w:p>
        </w:tc>
        <w:tc>
          <w:tcPr>
            <w:tcW w:w="23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ascii="宋体" w:hAnsi="宋体" w:eastAsia="宋体" w:cs="宋体"/>
                <w:b w:val="0"/>
                <w:bCs/>
                <w:color w:val="000000"/>
                <w:kern w:val="0"/>
                <w:sz w:val="18"/>
                <w:szCs w:val="18"/>
                <w:lang w:val="en-US" w:eastAsia="zh-CN"/>
              </w:rPr>
            </w:pPr>
            <w:r>
              <w:rPr>
                <w:rFonts w:hint="eastAsia" w:ascii="宋体" w:hAnsi="宋体" w:eastAsia="宋体" w:cs="宋体"/>
                <w:b w:val="0"/>
                <w:bCs/>
                <w:color w:val="000000"/>
                <w:kern w:val="0"/>
                <w:sz w:val="18"/>
                <w:szCs w:val="18"/>
                <w:lang w:val="en-US" w:eastAsia="zh-CN"/>
              </w:rPr>
              <w:t>各项贷款余额（万元）</w:t>
            </w:r>
          </w:p>
        </w:tc>
        <w:tc>
          <w:tcPr>
            <w:tcW w:w="18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default" w:ascii="宋体" w:hAnsi="宋体" w:eastAsia="宋体" w:cs="宋体"/>
                <w:b w:val="0"/>
                <w:bCs/>
                <w:color w:val="000000"/>
                <w:kern w:val="0"/>
                <w:sz w:val="18"/>
                <w:szCs w:val="18"/>
                <w:lang w:val="en-US" w:eastAsia="zh-CN"/>
              </w:rPr>
            </w:pPr>
            <w:r>
              <w:rPr>
                <w:rFonts w:hint="eastAsia" w:ascii="宋体" w:hAnsi="宋体" w:eastAsia="宋体" w:cs="宋体"/>
                <w:b w:val="0"/>
                <w:bCs/>
                <w:color w:val="000000"/>
                <w:kern w:val="0"/>
                <w:sz w:val="18"/>
                <w:szCs w:val="18"/>
                <w:lang w:val="en-US" w:eastAsia="zh-CN"/>
              </w:rPr>
              <w:t>912670.6</w:t>
            </w: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default" w:ascii="宋体" w:hAnsi="宋体" w:eastAsia="宋体" w:cs="宋体"/>
                <w:b w:val="0"/>
                <w:bCs/>
                <w:color w:val="000000"/>
                <w:kern w:val="0"/>
                <w:sz w:val="18"/>
                <w:szCs w:val="18"/>
                <w:lang w:val="en-US" w:eastAsia="zh-CN"/>
              </w:rPr>
            </w:pPr>
            <w:r>
              <w:rPr>
                <w:rFonts w:hint="eastAsia" w:ascii="宋体" w:hAnsi="宋体" w:eastAsia="宋体" w:cs="宋体"/>
                <w:b w:val="0"/>
                <w:bCs/>
                <w:color w:val="000000"/>
                <w:kern w:val="0"/>
                <w:sz w:val="18"/>
                <w:szCs w:val="18"/>
                <w:lang w:val="en-US" w:eastAsia="zh-CN"/>
              </w:rPr>
              <w:t>1185618.24</w:t>
            </w:r>
          </w:p>
        </w:tc>
        <w:tc>
          <w:tcPr>
            <w:tcW w:w="1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default" w:ascii="宋体" w:hAnsi="宋体" w:eastAsia="宋体" w:cs="宋体"/>
                <w:b w:val="0"/>
                <w:bCs/>
                <w:color w:val="000000"/>
                <w:kern w:val="0"/>
                <w:sz w:val="18"/>
                <w:szCs w:val="18"/>
                <w:lang w:val="en-US" w:eastAsia="zh-CN"/>
              </w:rPr>
            </w:pPr>
            <w:r>
              <w:rPr>
                <w:rFonts w:hint="eastAsia" w:ascii="宋体" w:hAnsi="宋体" w:eastAsia="宋体" w:cs="宋体"/>
                <w:b w:val="0"/>
                <w:bCs/>
                <w:color w:val="000000"/>
                <w:kern w:val="0"/>
                <w:sz w:val="18"/>
                <w:szCs w:val="18"/>
                <w:lang w:val="en-US" w:eastAsia="zh-CN"/>
              </w:rPr>
              <w:t>-23.02%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4" w:hRule="atLeast"/>
        </w:trPr>
        <w:tc>
          <w:tcPr>
            <w:tcW w:w="21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ascii="宋体" w:hAnsi="宋体" w:eastAsia="宋体" w:cs="宋体"/>
                <w:b w:val="0"/>
                <w:bCs/>
                <w:color w:val="000000"/>
                <w:kern w:val="0"/>
                <w:sz w:val="18"/>
                <w:szCs w:val="18"/>
                <w:lang w:val="en-US" w:eastAsia="zh-CN"/>
              </w:rPr>
            </w:pPr>
            <w:r>
              <w:rPr>
                <w:rFonts w:hint="eastAsia" w:ascii="宋体" w:hAnsi="宋体" w:eastAsia="宋体" w:cs="宋体"/>
                <w:b w:val="0"/>
                <w:bCs/>
                <w:color w:val="000000"/>
                <w:kern w:val="0"/>
                <w:sz w:val="18"/>
                <w:szCs w:val="18"/>
                <w:lang w:val="en-US" w:eastAsia="zh-CN"/>
              </w:rPr>
              <w:t>绿色信贷余额及占比</w:t>
            </w:r>
          </w:p>
        </w:tc>
        <w:tc>
          <w:tcPr>
            <w:tcW w:w="23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ascii="宋体" w:hAnsi="宋体" w:eastAsia="宋体" w:cs="宋体"/>
                <w:b w:val="0"/>
                <w:bCs/>
                <w:color w:val="000000"/>
                <w:kern w:val="0"/>
                <w:sz w:val="18"/>
                <w:szCs w:val="18"/>
                <w:lang w:val="en-US" w:eastAsia="zh-CN"/>
              </w:rPr>
            </w:pPr>
            <w:r>
              <w:rPr>
                <w:rFonts w:hint="eastAsia" w:ascii="宋体" w:hAnsi="宋体" w:eastAsia="宋体" w:cs="宋体"/>
                <w:b w:val="0"/>
                <w:bCs/>
                <w:color w:val="000000"/>
                <w:kern w:val="0"/>
                <w:sz w:val="18"/>
                <w:szCs w:val="18"/>
                <w:lang w:val="en-US" w:eastAsia="zh-CN"/>
              </w:rPr>
              <w:t>绿色信贷占比（%）</w:t>
            </w:r>
          </w:p>
        </w:tc>
        <w:tc>
          <w:tcPr>
            <w:tcW w:w="18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default" w:ascii="宋体" w:hAnsi="宋体" w:eastAsia="宋体" w:cs="宋体"/>
                <w:b w:val="0"/>
                <w:bCs/>
                <w:color w:val="000000"/>
                <w:kern w:val="0"/>
                <w:sz w:val="18"/>
                <w:szCs w:val="18"/>
                <w:lang w:val="en-US" w:eastAsia="zh-CN"/>
              </w:rPr>
            </w:pPr>
            <w:r>
              <w:rPr>
                <w:rFonts w:hint="eastAsia" w:ascii="宋体" w:hAnsi="宋体" w:eastAsia="宋体" w:cs="宋体"/>
                <w:b w:val="0"/>
                <w:bCs/>
                <w:color w:val="000000"/>
                <w:kern w:val="0"/>
                <w:sz w:val="18"/>
                <w:szCs w:val="18"/>
                <w:lang w:val="en-US" w:eastAsia="zh-CN"/>
              </w:rPr>
              <w:t>7.8334%</w:t>
            </w: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default" w:ascii="宋体" w:hAnsi="宋体" w:eastAsia="宋体" w:cs="宋体"/>
                <w:b w:val="0"/>
                <w:bCs/>
                <w:color w:val="000000"/>
                <w:kern w:val="0"/>
                <w:sz w:val="18"/>
                <w:szCs w:val="18"/>
                <w:lang w:val="en-US" w:eastAsia="zh-CN"/>
              </w:rPr>
            </w:pPr>
            <w:r>
              <w:rPr>
                <w:rFonts w:hint="eastAsia" w:ascii="宋体" w:hAnsi="宋体" w:eastAsia="宋体" w:cs="宋体"/>
                <w:b w:val="0"/>
                <w:bCs/>
                <w:color w:val="000000"/>
                <w:kern w:val="0"/>
                <w:sz w:val="18"/>
                <w:szCs w:val="18"/>
                <w:lang w:val="en-US" w:eastAsia="zh-CN"/>
              </w:rPr>
              <w:t>4.68249%</w:t>
            </w:r>
          </w:p>
        </w:tc>
        <w:tc>
          <w:tcPr>
            <w:tcW w:w="1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default" w:ascii="宋体" w:hAnsi="宋体" w:eastAsia="宋体" w:cs="宋体"/>
                <w:b w:val="0"/>
                <w:bCs/>
                <w:color w:val="000000"/>
                <w:kern w:val="0"/>
                <w:sz w:val="18"/>
                <w:szCs w:val="18"/>
                <w:lang w:val="en-US" w:eastAsia="zh-CN"/>
              </w:rPr>
            </w:pPr>
            <w:r>
              <w:rPr>
                <w:rFonts w:hint="eastAsia" w:ascii="宋体" w:hAnsi="宋体" w:eastAsia="宋体" w:cs="宋体"/>
                <w:b w:val="0"/>
                <w:bCs/>
                <w:color w:val="000000"/>
                <w:kern w:val="0"/>
                <w:sz w:val="18"/>
                <w:szCs w:val="18"/>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4" w:hRule="atLeast"/>
        </w:trPr>
        <w:tc>
          <w:tcPr>
            <w:tcW w:w="21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ascii="宋体" w:hAnsi="宋体" w:eastAsia="宋体" w:cs="宋体"/>
                <w:b w:val="0"/>
                <w:bCs/>
                <w:color w:val="000000"/>
                <w:kern w:val="0"/>
                <w:sz w:val="18"/>
                <w:szCs w:val="18"/>
                <w:lang w:val="en-US" w:eastAsia="zh-CN"/>
              </w:rPr>
            </w:pPr>
            <w:r>
              <w:rPr>
                <w:rFonts w:hint="eastAsia" w:ascii="宋体" w:hAnsi="宋体" w:eastAsia="宋体" w:cs="宋体"/>
                <w:b w:val="0"/>
                <w:bCs/>
                <w:color w:val="000000"/>
                <w:kern w:val="0"/>
                <w:sz w:val="18"/>
                <w:szCs w:val="18"/>
                <w:lang w:val="en-US" w:eastAsia="zh-CN"/>
              </w:rPr>
              <w:t>绿色信贷余额及占比</w:t>
            </w:r>
          </w:p>
        </w:tc>
        <w:tc>
          <w:tcPr>
            <w:tcW w:w="23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ascii="宋体" w:hAnsi="宋体" w:eastAsia="宋体" w:cs="宋体"/>
                <w:b w:val="0"/>
                <w:bCs/>
                <w:color w:val="000000"/>
                <w:kern w:val="0"/>
                <w:sz w:val="18"/>
                <w:szCs w:val="18"/>
                <w:lang w:val="en-US" w:eastAsia="zh-CN"/>
              </w:rPr>
            </w:pPr>
            <w:r>
              <w:rPr>
                <w:rFonts w:hint="eastAsia" w:ascii="宋体" w:hAnsi="宋体" w:eastAsia="宋体" w:cs="宋体"/>
                <w:b w:val="0"/>
                <w:bCs/>
                <w:color w:val="000000"/>
                <w:kern w:val="0"/>
                <w:sz w:val="18"/>
                <w:szCs w:val="18"/>
                <w:lang w:val="en-US" w:eastAsia="zh-CN"/>
              </w:rPr>
              <w:t>绿色信贷不良贷款余额（万元）</w:t>
            </w:r>
          </w:p>
        </w:tc>
        <w:tc>
          <w:tcPr>
            <w:tcW w:w="18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default" w:ascii="宋体" w:hAnsi="宋体" w:eastAsia="宋体" w:cs="宋体"/>
                <w:b w:val="0"/>
                <w:bCs/>
                <w:color w:val="000000"/>
                <w:kern w:val="0"/>
                <w:sz w:val="18"/>
                <w:szCs w:val="18"/>
                <w:lang w:val="en-US" w:eastAsia="zh-CN"/>
              </w:rPr>
            </w:pPr>
            <w:r>
              <w:rPr>
                <w:rFonts w:hint="eastAsia" w:ascii="宋体" w:hAnsi="宋体" w:eastAsia="宋体" w:cs="宋体"/>
                <w:b w:val="0"/>
                <w:bCs/>
                <w:color w:val="000000"/>
                <w:kern w:val="0"/>
                <w:sz w:val="18"/>
                <w:szCs w:val="18"/>
                <w:lang w:val="en-US" w:eastAsia="zh-CN"/>
              </w:rPr>
              <w:t>0</w:t>
            </w: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default" w:ascii="宋体" w:hAnsi="宋体" w:eastAsia="宋体" w:cs="宋体"/>
                <w:b w:val="0"/>
                <w:bCs/>
                <w:color w:val="000000"/>
                <w:kern w:val="0"/>
                <w:sz w:val="18"/>
                <w:szCs w:val="18"/>
                <w:lang w:val="en-US" w:eastAsia="zh-CN"/>
              </w:rPr>
            </w:pPr>
            <w:r>
              <w:rPr>
                <w:rFonts w:hint="eastAsia" w:ascii="宋体" w:hAnsi="宋体" w:eastAsia="宋体" w:cs="宋体"/>
                <w:b w:val="0"/>
                <w:bCs/>
                <w:color w:val="000000"/>
                <w:kern w:val="0"/>
                <w:sz w:val="18"/>
                <w:szCs w:val="18"/>
                <w:lang w:val="en-US" w:eastAsia="zh-CN"/>
              </w:rPr>
              <w:t>0</w:t>
            </w:r>
          </w:p>
        </w:tc>
        <w:tc>
          <w:tcPr>
            <w:tcW w:w="1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default" w:ascii="宋体" w:hAnsi="宋体" w:eastAsia="宋体" w:cs="宋体"/>
                <w:b w:val="0"/>
                <w:bCs/>
                <w:color w:val="000000"/>
                <w:kern w:val="0"/>
                <w:sz w:val="18"/>
                <w:szCs w:val="18"/>
                <w:lang w:val="en-US" w:eastAsia="zh-CN"/>
              </w:rPr>
            </w:pPr>
            <w:r>
              <w:rPr>
                <w:rFonts w:hint="eastAsia" w:ascii="宋体" w:hAnsi="宋体" w:eastAsia="宋体" w:cs="宋体"/>
                <w:b w:val="0"/>
                <w:bCs/>
                <w:color w:val="000000"/>
                <w:kern w:val="0"/>
                <w:sz w:val="18"/>
                <w:szCs w:val="18"/>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4" w:hRule="atLeast"/>
        </w:trPr>
        <w:tc>
          <w:tcPr>
            <w:tcW w:w="21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ascii="宋体" w:hAnsi="宋体" w:eastAsia="宋体" w:cs="宋体"/>
                <w:b w:val="0"/>
                <w:bCs/>
                <w:color w:val="000000"/>
                <w:kern w:val="0"/>
                <w:sz w:val="18"/>
                <w:szCs w:val="18"/>
                <w:lang w:val="en-US" w:eastAsia="zh-CN"/>
              </w:rPr>
            </w:pPr>
            <w:r>
              <w:rPr>
                <w:rFonts w:hint="eastAsia" w:ascii="宋体" w:hAnsi="宋体" w:eastAsia="宋体" w:cs="宋体"/>
                <w:b w:val="0"/>
                <w:bCs/>
                <w:color w:val="000000"/>
                <w:kern w:val="0"/>
                <w:sz w:val="18"/>
                <w:szCs w:val="18"/>
                <w:lang w:val="en-US" w:eastAsia="zh-CN"/>
              </w:rPr>
              <w:t>绿色信贷余额及占比</w:t>
            </w:r>
          </w:p>
        </w:tc>
        <w:tc>
          <w:tcPr>
            <w:tcW w:w="23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ascii="宋体" w:hAnsi="宋体" w:eastAsia="宋体" w:cs="宋体"/>
                <w:b w:val="0"/>
                <w:bCs/>
                <w:color w:val="000000"/>
                <w:kern w:val="0"/>
                <w:sz w:val="18"/>
                <w:szCs w:val="18"/>
                <w:lang w:val="en-US" w:eastAsia="zh-CN"/>
              </w:rPr>
            </w:pPr>
            <w:r>
              <w:rPr>
                <w:rFonts w:hint="eastAsia" w:ascii="宋体" w:hAnsi="宋体" w:eastAsia="宋体" w:cs="宋体"/>
                <w:b w:val="0"/>
                <w:bCs/>
                <w:color w:val="000000"/>
                <w:kern w:val="0"/>
                <w:sz w:val="18"/>
                <w:szCs w:val="18"/>
                <w:lang w:val="en-US" w:eastAsia="zh-CN"/>
              </w:rPr>
              <w:t>绿色信贷不良率（%）</w:t>
            </w:r>
          </w:p>
        </w:tc>
        <w:tc>
          <w:tcPr>
            <w:tcW w:w="18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default" w:ascii="宋体" w:hAnsi="宋体" w:eastAsia="宋体" w:cs="宋体"/>
                <w:b w:val="0"/>
                <w:bCs/>
                <w:color w:val="000000"/>
                <w:kern w:val="0"/>
                <w:sz w:val="18"/>
                <w:szCs w:val="18"/>
                <w:lang w:val="en-US" w:eastAsia="zh-CN"/>
              </w:rPr>
            </w:pPr>
            <w:r>
              <w:rPr>
                <w:rFonts w:hint="eastAsia" w:ascii="宋体" w:hAnsi="宋体" w:eastAsia="宋体" w:cs="宋体"/>
                <w:b w:val="0"/>
                <w:bCs/>
                <w:color w:val="000000"/>
                <w:kern w:val="0"/>
                <w:sz w:val="18"/>
                <w:szCs w:val="18"/>
                <w:lang w:val="en-US" w:eastAsia="zh-CN"/>
              </w:rPr>
              <w:t>0%</w:t>
            </w: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default" w:ascii="宋体" w:hAnsi="宋体" w:eastAsia="宋体" w:cs="宋体"/>
                <w:b w:val="0"/>
                <w:bCs/>
                <w:color w:val="000000"/>
                <w:kern w:val="0"/>
                <w:sz w:val="18"/>
                <w:szCs w:val="18"/>
                <w:lang w:val="en-US" w:eastAsia="zh-CN"/>
              </w:rPr>
            </w:pPr>
            <w:r>
              <w:rPr>
                <w:rFonts w:hint="eastAsia" w:ascii="宋体" w:hAnsi="宋体" w:eastAsia="宋体" w:cs="宋体"/>
                <w:b w:val="0"/>
                <w:bCs/>
                <w:color w:val="000000"/>
                <w:kern w:val="0"/>
                <w:sz w:val="18"/>
                <w:szCs w:val="18"/>
                <w:lang w:val="en-US" w:eastAsia="zh-CN"/>
              </w:rPr>
              <w:t>0%</w:t>
            </w:r>
          </w:p>
        </w:tc>
        <w:tc>
          <w:tcPr>
            <w:tcW w:w="1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default" w:ascii="宋体" w:hAnsi="宋体" w:eastAsia="宋体" w:cs="宋体"/>
                <w:b w:val="0"/>
                <w:bCs/>
                <w:color w:val="000000"/>
                <w:kern w:val="0"/>
                <w:sz w:val="18"/>
                <w:szCs w:val="18"/>
                <w:lang w:val="en-US" w:eastAsia="zh-CN"/>
              </w:rPr>
            </w:pPr>
            <w:r>
              <w:rPr>
                <w:rFonts w:hint="eastAsia" w:ascii="宋体" w:hAnsi="宋体" w:eastAsia="宋体" w:cs="宋体"/>
                <w:b w:val="0"/>
                <w:bCs/>
                <w:color w:val="000000"/>
                <w:kern w:val="0"/>
                <w:sz w:val="18"/>
                <w:szCs w:val="18"/>
                <w:lang w:val="en-US" w:eastAsia="zh-CN"/>
              </w:rPr>
              <w:t>/</w:t>
            </w:r>
          </w:p>
        </w:tc>
      </w:tr>
    </w:tbl>
    <w:p>
      <w:pPr>
        <w:keepNext w:val="0"/>
        <w:keepLines w:val="0"/>
        <w:pageBreakBefore w:val="0"/>
        <w:widowControl/>
        <w:numPr>
          <w:ilvl w:val="0"/>
          <w:numId w:val="0"/>
        </w:numPr>
        <w:kinsoku/>
        <w:wordWrap/>
        <w:overflowPunct/>
        <w:topLinePunct w:val="0"/>
        <w:autoSpaceDE w:val="0"/>
        <w:autoSpaceDN w:val="0"/>
        <w:bidi w:val="0"/>
        <w:adjustRightInd w:val="0"/>
        <w:snapToGrid w:val="0"/>
        <w:spacing w:before="149" w:beforeLines="50" w:line="240" w:lineRule="auto"/>
        <w:ind w:left="0" w:leftChars="0" w:firstLine="0" w:firstLineChars="0"/>
        <w:textAlignment w:val="baseline"/>
        <w:outlineLvl w:val="0"/>
        <w:rPr>
          <w:rFonts w:hint="eastAsia" w:ascii="微软雅黑" w:hAnsi="微软雅黑" w:eastAsia="微软雅黑" w:cs="微软雅黑"/>
          <w:b w:val="0"/>
          <w:bCs/>
          <w:color w:val="000000" w:themeColor="text1"/>
          <w:kern w:val="2"/>
          <w:sz w:val="28"/>
          <w:szCs w:val="28"/>
          <w:lang w:val="en-US" w:eastAsia="zh-CN" w:bidi="ar-SA"/>
          <w14:textFill>
            <w14:solidFill>
              <w14:schemeClr w14:val="tx1"/>
            </w14:solidFill>
          </w14:textFill>
        </w:rPr>
      </w:pPr>
      <w:bookmarkStart w:id="37" w:name="_Toc707"/>
      <w:r>
        <w:rPr>
          <w:rFonts w:hint="eastAsia" w:ascii="微软雅黑" w:hAnsi="微软雅黑" w:eastAsia="微软雅黑" w:cs="微软雅黑"/>
          <w:b w:val="0"/>
          <w:bCs/>
          <w:color w:val="000000" w:themeColor="text1"/>
          <w:kern w:val="2"/>
          <w:sz w:val="28"/>
          <w:szCs w:val="28"/>
          <w:lang w:val="en-US" w:eastAsia="zh-CN" w:bidi="ar-SA"/>
          <w14:textFill>
            <w14:solidFill>
              <w14:schemeClr w14:val="tx1"/>
            </w14:solidFill>
          </w14:textFill>
        </w:rPr>
        <w:t>8.2 绿色产业</w:t>
      </w:r>
      <w:bookmarkEnd w:id="37"/>
    </w:p>
    <w:p>
      <w:pPr>
        <w:widowControl/>
        <w:kinsoku w:val="0"/>
        <w:autoSpaceDE w:val="0"/>
        <w:autoSpaceDN w:val="0"/>
        <w:adjustRightInd w:val="0"/>
        <w:snapToGrid w:val="0"/>
        <w:spacing w:before="156" w:beforeLines="50" w:line="240" w:lineRule="auto"/>
        <w:ind w:firstLine="504"/>
        <w:textAlignment w:val="baseline"/>
        <w:rPr>
          <w:rFonts w:hint="eastAsia" w:ascii="方正仿宋_GBK" w:hAnsi="方正仿宋_GBK" w:eastAsia="仿宋" w:cs="方正仿宋_GBK"/>
          <w:b w:val="0"/>
          <w:bCs/>
          <w:color w:val="000000" w:themeColor="text1"/>
          <w:kern w:val="0"/>
          <w:sz w:val="20"/>
          <w:szCs w:val="20"/>
          <w:lang w:eastAsia="zh-CN"/>
          <w14:textFill>
            <w14:solidFill>
              <w14:schemeClr w14:val="tx1"/>
            </w14:solidFill>
          </w14:textFill>
        </w:rPr>
      </w:pPr>
      <w:r>
        <w:rPr>
          <w:rFonts w:hint="eastAsia" w:ascii="仿宋" w:hAnsi="仿宋" w:eastAsia="仿宋" w:cs="仿宋"/>
          <w:b w:val="0"/>
          <w:bCs/>
          <w:snapToGrid w:val="0"/>
          <w:color w:val="000000" w:themeColor="text1"/>
          <w:spacing w:val="6"/>
          <w:kern w:val="0"/>
          <w:sz w:val="24"/>
          <w:szCs w:val="24"/>
          <w14:textFill>
            <w14:solidFill>
              <w14:schemeClr w14:val="tx1"/>
            </w14:solidFill>
          </w14:textFill>
        </w:rPr>
        <w:t>报告年度内本行绿色信贷支持的</w:t>
      </w:r>
      <w:r>
        <w:rPr>
          <w:rFonts w:hint="eastAsia"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九</w:t>
      </w:r>
      <w:r>
        <w:rPr>
          <w:rFonts w:hint="eastAsia" w:ascii="仿宋" w:hAnsi="仿宋" w:eastAsia="仿宋" w:cs="仿宋"/>
          <w:b w:val="0"/>
          <w:bCs/>
          <w:snapToGrid w:val="0"/>
          <w:color w:val="000000" w:themeColor="text1"/>
          <w:spacing w:val="6"/>
          <w:kern w:val="0"/>
          <w:sz w:val="24"/>
          <w:szCs w:val="24"/>
          <w14:textFill>
            <w14:solidFill>
              <w14:schemeClr w14:val="tx1"/>
            </w14:solidFill>
          </w14:textFill>
        </w:rPr>
        <w:t>大绿色产业（项目）的减排情况：能源绿色低碳转型折合减排二氧化碳当量</w:t>
      </w:r>
      <w:r>
        <w:rPr>
          <w:rFonts w:hint="eastAsia" w:ascii="仿宋" w:hAnsi="仿宋" w:eastAsia="仿宋" w:cs="仿宋"/>
          <w:b w:val="0"/>
          <w:bCs/>
          <w:i w:val="0"/>
          <w:iCs w:val="0"/>
          <w:snapToGrid w:val="0"/>
          <w:color w:val="000000" w:themeColor="text1"/>
          <w:spacing w:val="6"/>
          <w:kern w:val="0"/>
          <w:sz w:val="24"/>
          <w:szCs w:val="24"/>
          <w:u w:val="single"/>
          <w:lang w:val="en-US" w:eastAsia="zh-CN"/>
          <w14:textFill>
            <w14:solidFill>
              <w14:schemeClr w14:val="tx1"/>
            </w14:solidFill>
          </w14:textFill>
        </w:rPr>
        <w:t xml:space="preserve"> </w:t>
      </w:r>
      <w:r>
        <w:rPr>
          <w:rFonts w:ascii="仿宋" w:hAnsi="仿宋" w:eastAsia="仿宋" w:cs="仿宋"/>
          <w:color w:val="000000"/>
          <w:spacing w:val="6"/>
          <w:sz w:val="24"/>
          <w:u w:val="single" w:color="auto"/>
        </w:rPr>
        <w:t xml:space="preserve">101.52 </w:t>
      </w:r>
      <w:r>
        <w:rPr>
          <w:rFonts w:hint="eastAsia" w:ascii="仿宋" w:hAnsi="仿宋" w:eastAsia="仿宋" w:cs="仿宋"/>
          <w:b w:val="0"/>
          <w:bCs/>
          <w:snapToGrid w:val="0"/>
          <w:color w:val="000000" w:themeColor="text1"/>
          <w:spacing w:val="6"/>
          <w:kern w:val="0"/>
          <w:sz w:val="24"/>
          <w:szCs w:val="24"/>
          <w14:textFill>
            <w14:solidFill>
              <w14:schemeClr w14:val="tx1"/>
            </w14:solidFill>
          </w14:textFill>
        </w:rPr>
        <w:t>tCO</w:t>
      </w:r>
      <w:r>
        <w:rPr>
          <w:rFonts w:hint="eastAsia" w:ascii="仿宋" w:hAnsi="仿宋" w:eastAsia="仿宋" w:cs="仿宋"/>
          <w:b w:val="0"/>
          <w:bCs/>
          <w:snapToGrid w:val="0"/>
          <w:color w:val="000000" w:themeColor="text1"/>
          <w:spacing w:val="6"/>
          <w:kern w:val="0"/>
          <w:sz w:val="24"/>
          <w:szCs w:val="24"/>
          <w:vertAlign w:val="subscript"/>
          <w14:textFill>
            <w14:solidFill>
              <w14:schemeClr w14:val="tx1"/>
            </w14:solidFill>
          </w14:textFill>
        </w:rPr>
        <w:t>2</w:t>
      </w:r>
      <w:r>
        <w:rPr>
          <w:rFonts w:hint="eastAsia" w:ascii="仿宋" w:hAnsi="仿宋" w:eastAsia="仿宋" w:cs="仿宋"/>
          <w:b w:val="0"/>
          <w:bCs/>
          <w:snapToGrid w:val="0"/>
          <w:color w:val="000000" w:themeColor="text1"/>
          <w:spacing w:val="6"/>
          <w:kern w:val="0"/>
          <w:sz w:val="24"/>
          <w:szCs w:val="24"/>
          <w14:textFill>
            <w14:solidFill>
              <w14:schemeClr w14:val="tx1"/>
            </w14:solidFill>
          </w14:textFill>
        </w:rPr>
        <w:t>e</w:t>
      </w:r>
      <w:r>
        <w:rPr>
          <w:rFonts w:hint="eastAsia" w:ascii="仿宋" w:hAnsi="仿宋" w:eastAsia="仿宋" w:cs="仿宋"/>
          <w:b w:val="0"/>
          <w:bCs/>
          <w:snapToGrid w:val="0"/>
          <w:color w:val="000000" w:themeColor="text1"/>
          <w:spacing w:val="6"/>
          <w:kern w:val="0"/>
          <w:sz w:val="24"/>
          <w:szCs w:val="24"/>
          <w:lang w:eastAsia="zh-CN"/>
          <w14:textFill>
            <w14:solidFill>
              <w14:schemeClr w14:val="tx1"/>
            </w14:solidFill>
          </w14:textFill>
        </w:rPr>
        <w:t>。</w:t>
      </w:r>
    </w:p>
    <w:p>
      <w:pPr>
        <w:widowControl/>
        <w:spacing w:line="240" w:lineRule="auto"/>
        <w:ind w:firstLine="0" w:firstLineChars="0"/>
        <w:jc w:val="center"/>
        <w:rPr>
          <w:rFonts w:hint="eastAsia" w:ascii="宋体" w:hAnsi="宋体" w:eastAsia="宋体" w:cs="宋体"/>
          <w:b w:val="0"/>
          <w:bCs/>
          <w:color w:val="0070C0"/>
          <w:kern w:val="0"/>
          <w:sz w:val="18"/>
          <w:szCs w:val="18"/>
          <w:lang w:val="en-US" w:eastAsia="zh-CN"/>
        </w:rPr>
      </w:pPr>
      <w:r>
        <w:rPr>
          <w:rFonts w:hint="eastAsia" w:ascii="宋体" w:hAnsi="宋体" w:eastAsia="宋体" w:cs="宋体"/>
          <w:b w:val="0"/>
          <w:bCs/>
          <w:color w:val="0070C0"/>
          <w:kern w:val="0"/>
          <w:sz w:val="18"/>
          <w:szCs w:val="18"/>
          <w:lang w:val="en-US" w:eastAsia="zh-CN"/>
        </w:rPr>
        <w:t>8-2绿色信贷（六大绿色产业）的节能减排</w:t>
      </w:r>
    </w:p>
    <w:tbl>
      <w:tblPr>
        <w:tblStyle w:val="21"/>
        <w:tblW w:w="9365" w:type="dxa"/>
        <w:tblInd w:w="9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66"/>
        <w:gridCol w:w="1503"/>
        <w:gridCol w:w="717"/>
        <w:gridCol w:w="717"/>
        <w:gridCol w:w="730"/>
        <w:gridCol w:w="650"/>
        <w:gridCol w:w="704"/>
        <w:gridCol w:w="756"/>
        <w:gridCol w:w="710"/>
        <w:gridCol w:w="698"/>
        <w:gridCol w:w="637"/>
        <w:gridCol w:w="67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6" w:hRule="atLeast"/>
        </w:trPr>
        <w:tc>
          <w:tcPr>
            <w:tcW w:w="2369" w:type="dxa"/>
            <w:gridSpan w:val="2"/>
            <w:vMerge w:val="restart"/>
            <w:tcBorders>
              <w:top w:val="single" w:color="000000" w:sz="4" w:space="0"/>
              <w:left w:val="single" w:color="000000" w:sz="4" w:space="0"/>
              <w:right w:val="single" w:color="000000" w:sz="4" w:space="0"/>
            </w:tcBorders>
            <w:shd w:val="clear" w:color="auto" w:fill="auto"/>
            <w:vAlign w:val="center"/>
          </w:tcPr>
          <w:p>
            <w:r>
              <w:rPr>
                <w:rFonts w:ascii="宋体" w:hAnsi="宋体" w:eastAsia="宋体" w:cs="宋体"/>
                <w:b/>
                <w:sz w:val="18"/>
              </w:rPr>
              <w:t>指标名称</w:t>
            </w:r>
          </w:p>
        </w:tc>
        <w:tc>
          <w:tcPr>
            <w:tcW w:w="6996" w:type="dxa"/>
            <w:gridSpan w:val="10"/>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ind w:left="0" w:leftChars="0" w:firstLine="0" w:firstLineChars="0"/>
              <w:jc w:val="center"/>
              <w:textAlignment w:val="top"/>
              <w:rPr>
                <w:rFonts w:hint="eastAsia" w:ascii="宋体" w:hAnsi="宋体" w:eastAsia="宋体" w:cs="宋体"/>
                <w:b/>
                <w:bCs w:val="0"/>
                <w:i w:val="0"/>
                <w:iCs w:val="0"/>
                <w:color w:val="000000" w:themeColor="text1"/>
                <w:sz w:val="22"/>
                <w:szCs w:val="22"/>
                <w:u w:val="none"/>
                <w14:textFill>
                  <w14:solidFill>
                    <w14:schemeClr w14:val="tx1"/>
                  </w14:solidFill>
                </w14:textFill>
              </w:rPr>
            </w:pPr>
            <w:r>
              <w:rPr>
                <w:rFonts w:hint="eastAsia" w:ascii="宋体" w:hAnsi="宋体" w:eastAsia="宋体" w:cs="宋体"/>
                <w:b/>
                <w:bCs w:val="0"/>
                <w:color w:val="000000" w:themeColor="text1"/>
                <w:kern w:val="0"/>
                <w:sz w:val="18"/>
                <w:szCs w:val="18"/>
                <w:lang w:val="en-US" w:eastAsia="zh-CN"/>
                <w14:textFill>
                  <w14:solidFill>
                    <w14:schemeClr w14:val="tx1"/>
                  </w14:solidFill>
                </w14:textFill>
              </w:rPr>
              <w:t>绿色信贷的节能减排（九大绿色产业）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02" w:hRule="atLeast"/>
        </w:trPr>
        <w:tc>
          <w:tcPr>
            <w:tcW w:w="2369" w:type="dxa"/>
            <w:gridSpan w:val="2"/>
            <w:vMerge w:val="continue"/>
            <w:tcBorders>
              <w:left w:val="single" w:color="000000" w:sz="4" w:space="0"/>
              <w:bottom w:val="single" w:color="000000" w:sz="4" w:space="0"/>
              <w:right w:val="single" w:color="000000" w:sz="4" w:space="0"/>
            </w:tcBorders>
            <w:shd w:val="clear" w:color="auto" w:fill="auto"/>
            <w:vAlign w:val="top"/>
          </w:tcPr>
          <w:p>
            <w:pPr>
              <w:spacing w:line="360" w:lineRule="auto"/>
              <w:ind w:left="0" w:leftChars="0" w:firstLine="0" w:firstLineChars="0"/>
              <w:jc w:val="left"/>
              <w:rPr>
                <w:rFonts w:hint="eastAsia" w:ascii="方正仿宋_GBK" w:hAnsi="方正仿宋_GBK" w:eastAsia="方正仿宋_GBK" w:cs="方正仿宋_GBK"/>
                <w:b/>
                <w:bCs w:val="0"/>
                <w:i w:val="0"/>
                <w:iCs w:val="0"/>
                <w:color w:val="000000" w:themeColor="text1"/>
                <w:sz w:val="20"/>
                <w:szCs w:val="20"/>
                <w:u w:val="none"/>
                <w14:textFill>
                  <w14:solidFill>
                    <w14:schemeClr w14:val="tx1"/>
                  </w14:solidFill>
                </w14:textFill>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ind w:left="0" w:leftChars="0" w:firstLine="0" w:firstLineChars="0"/>
              <w:jc w:val="left"/>
              <w:textAlignment w:val="top"/>
              <w:rPr>
                <w:rFonts w:hint="default" w:ascii="宋体" w:hAnsi="宋体" w:eastAsia="宋体" w:cs="宋体"/>
                <w:b/>
                <w:bCs w:val="0"/>
                <w:i w:val="0"/>
                <w:iCs w:val="0"/>
                <w:color w:val="000000" w:themeColor="text1"/>
                <w:sz w:val="20"/>
                <w:szCs w:val="20"/>
                <w:u w:val="none"/>
                <w:lang w:val="en-US"/>
                <w14:textFill>
                  <w14:solidFill>
                    <w14:schemeClr w14:val="tx1"/>
                  </w14:solidFill>
                </w14:textFill>
              </w:rPr>
            </w:pPr>
            <w:r>
              <w:rPr>
                <w:rFonts w:hint="eastAsia" w:ascii="宋体" w:hAnsi="宋体" w:eastAsia="宋体" w:cs="宋体"/>
                <w:b/>
                <w:bCs w:val="0"/>
                <w:i w:val="0"/>
                <w:iCs w:val="0"/>
                <w:color w:val="000000" w:themeColor="text1"/>
                <w:kern w:val="0"/>
                <w:sz w:val="20"/>
                <w:szCs w:val="20"/>
                <w:u w:val="none"/>
                <w:lang w:val="en-US" w:eastAsia="zh-CN" w:bidi="ar"/>
                <w14:textFill>
                  <w14:solidFill>
                    <w14:schemeClr w14:val="tx1"/>
                  </w14:solidFill>
                </w14:textFill>
              </w:rPr>
              <w:t>1 节能降碳产业</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ind w:left="0" w:leftChars="0" w:firstLine="0" w:firstLineChars="0"/>
              <w:jc w:val="left"/>
              <w:textAlignment w:val="top"/>
              <w:rPr>
                <w:rFonts w:hint="eastAsia" w:ascii="宋体" w:hAnsi="宋体" w:eastAsia="宋体" w:cs="宋体"/>
                <w:b/>
                <w:bCs w:val="0"/>
                <w:i w:val="0"/>
                <w:iCs w:val="0"/>
                <w:color w:val="000000" w:themeColor="text1"/>
                <w:sz w:val="20"/>
                <w:szCs w:val="20"/>
                <w:u w:val="none"/>
                <w14:textFill>
                  <w14:solidFill>
                    <w14:schemeClr w14:val="tx1"/>
                  </w14:solidFill>
                </w14:textFill>
              </w:rPr>
            </w:pPr>
            <w:r>
              <w:rPr>
                <w:rFonts w:hint="eastAsia" w:ascii="宋体" w:hAnsi="宋体" w:eastAsia="宋体" w:cs="宋体"/>
                <w:b/>
                <w:bCs w:val="0"/>
                <w:i w:val="0"/>
                <w:iCs w:val="0"/>
                <w:color w:val="000000" w:themeColor="text1"/>
                <w:kern w:val="0"/>
                <w:sz w:val="20"/>
                <w:szCs w:val="20"/>
                <w:u w:val="none"/>
                <w:lang w:val="en-US" w:eastAsia="zh-CN" w:bidi="ar"/>
                <w14:textFill>
                  <w14:solidFill>
                    <w14:schemeClr w14:val="tx1"/>
                  </w14:solidFill>
                </w14:textFill>
              </w:rPr>
              <w:t>2 环境保护产业</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ind w:left="0" w:leftChars="0" w:firstLine="0" w:firstLineChars="0"/>
              <w:jc w:val="left"/>
              <w:textAlignment w:val="top"/>
              <w:rPr>
                <w:rFonts w:hint="eastAsia" w:ascii="宋体" w:hAnsi="宋体" w:eastAsia="宋体" w:cs="宋体"/>
                <w:b/>
                <w:bCs w:val="0"/>
                <w:i w:val="0"/>
                <w:iCs w:val="0"/>
                <w:color w:val="000000" w:themeColor="text1"/>
                <w:sz w:val="20"/>
                <w:szCs w:val="20"/>
                <w:u w:val="none"/>
                <w14:textFill>
                  <w14:solidFill>
                    <w14:schemeClr w14:val="tx1"/>
                  </w14:solidFill>
                </w14:textFill>
              </w:rPr>
            </w:pPr>
            <w:r>
              <w:rPr>
                <w:rFonts w:hint="eastAsia" w:ascii="宋体" w:hAnsi="宋体" w:eastAsia="宋体" w:cs="宋体"/>
                <w:b/>
                <w:bCs w:val="0"/>
                <w:i w:val="0"/>
                <w:iCs w:val="0"/>
                <w:color w:val="000000" w:themeColor="text1"/>
                <w:kern w:val="0"/>
                <w:sz w:val="20"/>
                <w:szCs w:val="20"/>
                <w:u w:val="none"/>
                <w:lang w:val="en-US" w:eastAsia="zh-CN" w:bidi="ar"/>
                <w14:textFill>
                  <w14:solidFill>
                    <w14:schemeClr w14:val="tx1"/>
                  </w14:solidFill>
                </w14:textFill>
              </w:rPr>
              <w:t>3 资源循环利用产业</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ind w:left="0" w:leftChars="0" w:firstLine="0" w:firstLineChars="0"/>
              <w:jc w:val="left"/>
              <w:textAlignment w:val="top"/>
              <w:rPr>
                <w:rFonts w:hint="eastAsia" w:ascii="宋体" w:hAnsi="宋体" w:eastAsia="宋体" w:cs="宋体"/>
                <w:b/>
                <w:bCs w:val="0"/>
                <w:i w:val="0"/>
                <w:iCs w:val="0"/>
                <w:color w:val="000000" w:themeColor="text1"/>
                <w:sz w:val="20"/>
                <w:szCs w:val="20"/>
                <w:u w:val="none"/>
                <w14:textFill>
                  <w14:solidFill>
                    <w14:schemeClr w14:val="tx1"/>
                  </w14:solidFill>
                </w14:textFill>
              </w:rPr>
            </w:pPr>
            <w:r>
              <w:rPr>
                <w:rFonts w:hint="eastAsia" w:ascii="宋体" w:hAnsi="宋体" w:eastAsia="宋体" w:cs="宋体"/>
                <w:b/>
                <w:bCs w:val="0"/>
                <w:i w:val="0"/>
                <w:iCs w:val="0"/>
                <w:color w:val="000000" w:themeColor="text1"/>
                <w:kern w:val="0"/>
                <w:sz w:val="20"/>
                <w:szCs w:val="20"/>
                <w:u w:val="none"/>
                <w:lang w:val="en-US" w:eastAsia="zh-CN" w:bidi="ar"/>
                <w14:textFill>
                  <w14:solidFill>
                    <w14:schemeClr w14:val="tx1"/>
                  </w14:solidFill>
                </w14:textFill>
              </w:rPr>
              <w:t>4 能源绿色低碳转型</w:t>
            </w:r>
          </w:p>
        </w:tc>
        <w:tc>
          <w:tcPr>
            <w:tcW w:w="704"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ind w:left="0" w:leftChars="0" w:firstLine="0" w:firstLineChars="0"/>
              <w:jc w:val="left"/>
              <w:textAlignment w:val="top"/>
              <w:rPr>
                <w:rFonts w:hint="eastAsia" w:ascii="宋体" w:hAnsi="宋体" w:eastAsia="宋体" w:cs="宋体"/>
                <w:b/>
                <w:bCs w:val="0"/>
                <w:i w:val="0"/>
                <w:iCs w:val="0"/>
                <w:color w:val="000000" w:themeColor="text1"/>
                <w:sz w:val="20"/>
                <w:szCs w:val="20"/>
                <w:u w:val="none"/>
                <w14:textFill>
                  <w14:solidFill>
                    <w14:schemeClr w14:val="tx1"/>
                  </w14:solidFill>
                </w14:textFill>
              </w:rPr>
            </w:pPr>
            <w:r>
              <w:rPr>
                <w:rFonts w:hint="eastAsia" w:ascii="宋体" w:hAnsi="宋体" w:eastAsia="宋体" w:cs="宋体"/>
                <w:b/>
                <w:bCs w:val="0"/>
                <w:i w:val="0"/>
                <w:iCs w:val="0"/>
                <w:color w:val="000000" w:themeColor="text1"/>
                <w:kern w:val="0"/>
                <w:sz w:val="20"/>
                <w:szCs w:val="20"/>
                <w:u w:val="none"/>
                <w:lang w:val="en-US" w:eastAsia="zh-CN" w:bidi="ar"/>
                <w14:textFill>
                  <w14:solidFill>
                    <w14:schemeClr w14:val="tx1"/>
                  </w14:solidFill>
                </w14:textFill>
              </w:rPr>
              <w:t>5 生态保护修复和利用</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ind w:left="0" w:leftChars="0" w:firstLine="0" w:firstLineChars="0"/>
              <w:jc w:val="left"/>
              <w:textAlignment w:val="top"/>
              <w:rPr>
                <w:rFonts w:hint="eastAsia" w:ascii="宋体" w:hAnsi="宋体" w:eastAsia="宋体" w:cs="宋体"/>
                <w:b/>
                <w:bCs w:val="0"/>
                <w:i w:val="0"/>
                <w:iCs w:val="0"/>
                <w:color w:val="000000" w:themeColor="text1"/>
                <w:sz w:val="20"/>
                <w:szCs w:val="20"/>
                <w:u w:val="none"/>
                <w14:textFill>
                  <w14:solidFill>
                    <w14:schemeClr w14:val="tx1"/>
                  </w14:solidFill>
                </w14:textFill>
              </w:rPr>
            </w:pPr>
            <w:r>
              <w:rPr>
                <w:rFonts w:hint="eastAsia" w:ascii="宋体" w:hAnsi="宋体" w:eastAsia="宋体" w:cs="宋体"/>
                <w:b/>
                <w:bCs w:val="0"/>
                <w:i w:val="0"/>
                <w:iCs w:val="0"/>
                <w:color w:val="000000" w:themeColor="text1"/>
                <w:kern w:val="0"/>
                <w:sz w:val="20"/>
                <w:szCs w:val="20"/>
                <w:u w:val="none"/>
                <w:lang w:val="en-US" w:eastAsia="zh-CN" w:bidi="ar"/>
                <w14:textFill>
                  <w14:solidFill>
                    <w14:schemeClr w14:val="tx1"/>
                  </w14:solidFill>
                </w14:textFill>
              </w:rPr>
              <w:t>6 基础设施绿色升级</w:t>
            </w:r>
          </w:p>
        </w:tc>
        <w:tc>
          <w:tcPr>
            <w:tcW w:w="71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ind w:left="0" w:leftChars="0" w:firstLine="0" w:firstLineChars="0"/>
              <w:jc w:val="left"/>
              <w:textAlignment w:val="top"/>
              <w:rPr>
                <w:rFonts w:hint="eastAsia" w:ascii="宋体" w:hAnsi="宋体" w:eastAsia="宋体" w:cs="宋体"/>
                <w:b/>
                <w:bCs w:val="0"/>
                <w:i w:val="0"/>
                <w:iCs w:val="0"/>
                <w:color w:val="000000" w:themeColor="text1"/>
                <w:sz w:val="20"/>
                <w:szCs w:val="20"/>
                <w:u w:val="none"/>
                <w14:textFill>
                  <w14:solidFill>
                    <w14:schemeClr w14:val="tx1"/>
                  </w14:solidFill>
                </w14:textFill>
              </w:rPr>
            </w:pPr>
            <w:r>
              <w:rPr>
                <w:rFonts w:hint="eastAsia" w:ascii="宋体" w:hAnsi="宋体" w:eastAsia="宋体" w:cs="宋体"/>
                <w:b/>
                <w:bCs w:val="0"/>
                <w:i w:val="0"/>
                <w:iCs w:val="0"/>
                <w:color w:val="000000" w:themeColor="text1"/>
                <w:kern w:val="0"/>
                <w:sz w:val="20"/>
                <w:szCs w:val="20"/>
                <w:u w:val="none"/>
                <w:lang w:val="en-US" w:eastAsia="zh-CN" w:bidi="ar"/>
                <w14:textFill>
                  <w14:solidFill>
                    <w14:schemeClr w14:val="tx1"/>
                  </w14:solidFill>
                </w14:textFill>
              </w:rPr>
              <w:t>7 绿色服务</w:t>
            </w:r>
          </w:p>
        </w:tc>
        <w:tc>
          <w:tcPr>
            <w:tcW w:w="69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ind w:left="0" w:leftChars="0" w:firstLine="0" w:firstLineChars="0"/>
              <w:jc w:val="left"/>
              <w:textAlignment w:val="top"/>
              <w:rPr>
                <w:rFonts w:hint="default" w:ascii="宋体" w:hAnsi="宋体" w:eastAsia="宋体" w:cs="宋体"/>
                <w:b/>
                <w:bCs w:val="0"/>
                <w:i w:val="0"/>
                <w:iCs w:val="0"/>
                <w:color w:val="000000" w:themeColor="text1"/>
                <w:kern w:val="0"/>
                <w:sz w:val="20"/>
                <w:szCs w:val="20"/>
                <w:u w:val="none"/>
                <w:lang w:val="en-US" w:eastAsia="zh-CN" w:bidi="ar"/>
                <w14:textFill>
                  <w14:solidFill>
                    <w14:schemeClr w14:val="tx1"/>
                  </w14:solidFill>
                </w14:textFill>
              </w:rPr>
            </w:pPr>
            <w:r>
              <w:rPr>
                <w:rFonts w:hint="eastAsia" w:ascii="宋体" w:hAnsi="宋体" w:eastAsia="宋体" w:cs="宋体"/>
                <w:b/>
                <w:bCs w:val="0"/>
                <w:i w:val="0"/>
                <w:iCs w:val="0"/>
                <w:color w:val="000000" w:themeColor="text1"/>
                <w:kern w:val="0"/>
                <w:sz w:val="20"/>
                <w:szCs w:val="20"/>
                <w:u w:val="none"/>
                <w:lang w:val="en-US" w:eastAsia="zh-CN" w:bidi="ar"/>
                <w14:textFill>
                  <w14:solidFill>
                    <w14:schemeClr w14:val="tx1"/>
                  </w14:solidFill>
                </w14:textFill>
              </w:rPr>
              <w:t>8绿色贸易</w:t>
            </w:r>
          </w:p>
        </w:tc>
        <w:tc>
          <w:tcPr>
            <w:tcW w:w="637"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ind w:left="0" w:leftChars="0" w:firstLine="0" w:firstLineChars="0"/>
              <w:jc w:val="left"/>
              <w:textAlignment w:val="top"/>
              <w:rPr>
                <w:rFonts w:hint="eastAsia" w:ascii="宋体" w:hAnsi="宋体" w:eastAsia="宋体" w:cs="宋体"/>
                <w:b/>
                <w:bCs w:val="0"/>
                <w:i w:val="0"/>
                <w:iCs w:val="0"/>
                <w:color w:val="000000" w:themeColor="text1"/>
                <w:kern w:val="0"/>
                <w:sz w:val="20"/>
                <w:szCs w:val="20"/>
                <w:u w:val="none"/>
                <w:lang w:val="en-US" w:eastAsia="zh-CN" w:bidi="ar"/>
                <w14:textFill>
                  <w14:solidFill>
                    <w14:schemeClr w14:val="tx1"/>
                  </w14:solidFill>
                </w14:textFill>
              </w:rPr>
            </w:pPr>
            <w:r>
              <w:rPr>
                <w:rFonts w:hint="eastAsia" w:ascii="宋体" w:hAnsi="宋体" w:eastAsia="宋体" w:cs="宋体"/>
                <w:b/>
                <w:bCs w:val="0"/>
                <w:i w:val="0"/>
                <w:iCs w:val="0"/>
                <w:color w:val="000000" w:themeColor="text1"/>
                <w:kern w:val="0"/>
                <w:sz w:val="20"/>
                <w:szCs w:val="20"/>
                <w:u w:val="none"/>
                <w:lang w:val="en-US" w:eastAsia="zh-CN" w:bidi="ar"/>
                <w14:textFill>
                  <w14:solidFill>
                    <w14:schemeClr w14:val="tx1"/>
                  </w14:solidFill>
                </w14:textFill>
              </w:rPr>
              <w:t>9.绿色消费</w:t>
            </w:r>
          </w:p>
        </w:tc>
        <w:tc>
          <w:tcPr>
            <w:tcW w:w="677"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ind w:left="0" w:leftChars="0" w:firstLine="0" w:firstLineChars="0"/>
              <w:jc w:val="left"/>
              <w:textAlignment w:val="top"/>
              <w:rPr>
                <w:rFonts w:hint="eastAsia" w:ascii="宋体" w:hAnsi="宋体" w:eastAsia="宋体" w:cs="宋体"/>
                <w:b/>
                <w:bCs w:val="0"/>
                <w:i w:val="0"/>
                <w:iCs w:val="0"/>
                <w:color w:val="000000" w:themeColor="text1"/>
                <w:sz w:val="18"/>
                <w:szCs w:val="18"/>
                <w:u w:val="none"/>
                <w14:textFill>
                  <w14:solidFill>
                    <w14:schemeClr w14:val="tx1"/>
                  </w14:solidFill>
                </w14:textFill>
              </w:rPr>
            </w:pPr>
            <w:r>
              <w:rPr>
                <w:rFonts w:hint="eastAsia" w:ascii="宋体" w:hAnsi="宋体" w:eastAsia="宋体" w:cs="宋体"/>
                <w:b/>
                <w:bCs w:val="0"/>
                <w:i w:val="0"/>
                <w:iCs w:val="0"/>
                <w:color w:val="000000" w:themeColor="text1"/>
                <w:kern w:val="0"/>
                <w:sz w:val="18"/>
                <w:szCs w:val="18"/>
                <w:u w:val="none"/>
                <w:lang w:val="en-US" w:eastAsia="zh-CN" w:bidi="ar"/>
                <w14:textFill>
                  <w14:solidFill>
                    <w14:schemeClr w14:val="tx1"/>
                  </w14:solidFill>
                </w14:textFill>
              </w:rPr>
              <w:t>合计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6" w:hRule="atLeast"/>
        </w:trPr>
        <w:tc>
          <w:tcPr>
            <w:tcW w:w="8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ascii="宋体" w:hAnsi="宋体" w:eastAsia="宋体" w:cs="宋体"/>
                <w:b w:val="0"/>
                <w:bCs/>
                <w:color w:val="000000"/>
                <w:kern w:val="0"/>
                <w:sz w:val="18"/>
                <w:szCs w:val="18"/>
                <w:lang w:val="en-US" w:eastAsia="zh-CN"/>
              </w:rPr>
            </w:pPr>
            <w:r>
              <w:rPr>
                <w:rFonts w:hint="eastAsia" w:ascii="宋体" w:hAnsi="宋体" w:eastAsia="宋体" w:cs="宋体"/>
                <w:b w:val="0"/>
                <w:bCs/>
                <w:color w:val="000000"/>
                <w:kern w:val="0"/>
                <w:sz w:val="18"/>
                <w:szCs w:val="18"/>
                <w:lang w:val="en-US" w:eastAsia="zh-CN"/>
              </w:rPr>
              <w:t>绿色信贷余额及占比</w:t>
            </w:r>
          </w:p>
        </w:tc>
        <w:tc>
          <w:tcPr>
            <w:tcW w:w="150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ascii="宋体" w:hAnsi="宋体" w:eastAsia="宋体" w:cs="宋体"/>
                <w:b w:val="0"/>
                <w:bCs/>
                <w:color w:val="000000"/>
                <w:kern w:val="0"/>
                <w:sz w:val="18"/>
                <w:szCs w:val="18"/>
                <w:lang w:val="en-US" w:eastAsia="zh-CN"/>
              </w:rPr>
            </w:pPr>
            <w:r>
              <w:rPr>
                <w:rFonts w:hint="eastAsia" w:ascii="宋体" w:hAnsi="宋体" w:eastAsia="宋体" w:cs="宋体"/>
                <w:b w:val="0"/>
                <w:bCs/>
                <w:color w:val="000000"/>
                <w:kern w:val="0"/>
                <w:sz w:val="18"/>
                <w:szCs w:val="18"/>
                <w:lang w:val="en-US" w:eastAsia="zh-CN"/>
              </w:rPr>
              <w:t>绿色信贷余额（万元）</w:t>
            </w: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default" w:ascii="宋体" w:hAnsi="宋体" w:eastAsia="宋体" w:cs="宋体"/>
                <w:b w:val="0"/>
                <w:bCs/>
                <w:color w:val="000000"/>
                <w:kern w:val="0"/>
                <w:sz w:val="18"/>
                <w:szCs w:val="18"/>
                <w:lang w:val="en-US" w:eastAsia="zh-CN"/>
              </w:rPr>
            </w:pPr>
            <w:r>
              <w:rPr>
                <w:rFonts w:hint="eastAsia" w:ascii="宋体" w:hAnsi="宋体" w:eastAsia="宋体" w:cs="宋体"/>
                <w:b w:val="0"/>
                <w:bCs/>
                <w:color w:val="000000"/>
                <w:kern w:val="0"/>
                <w:sz w:val="18"/>
                <w:szCs w:val="18"/>
                <w:lang w:val="en-US" w:eastAsia="zh-CN"/>
              </w:rPr>
              <w:t>3814.9</w:t>
            </w: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eastAsia" w:ascii="宋体" w:hAnsi="宋体" w:eastAsia="宋体" w:cs="宋体"/>
                <w:b w:val="0"/>
                <w:bCs/>
                <w:color w:val="000000"/>
                <w:kern w:val="0"/>
                <w:sz w:val="18"/>
                <w:szCs w:val="18"/>
                <w:lang w:val="en-US" w:eastAsia="zh-CN"/>
              </w:rPr>
            </w:pPr>
            <w:r>
              <w:rPr>
                <w:rFonts w:hint="eastAsia" w:ascii="宋体" w:hAnsi="宋体" w:eastAsia="宋体" w:cs="宋体"/>
                <w:b w:val="0"/>
                <w:bCs/>
                <w:color w:val="000000"/>
                <w:kern w:val="0"/>
                <w:sz w:val="18"/>
                <w:szCs w:val="18"/>
                <w:lang w:val="en-US" w:eastAsia="zh-CN"/>
              </w:rPr>
              <w:t>15006.69</w:t>
            </w:r>
          </w:p>
        </w:tc>
        <w:tc>
          <w:tcPr>
            <w:tcW w:w="7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eastAsia" w:ascii="宋体" w:hAnsi="宋体" w:eastAsia="宋体" w:cs="宋体"/>
                <w:b w:val="0"/>
                <w:bCs/>
                <w:color w:val="000000"/>
                <w:kern w:val="0"/>
                <w:sz w:val="18"/>
                <w:szCs w:val="18"/>
                <w:lang w:val="en-US" w:eastAsia="zh-CN"/>
              </w:rPr>
            </w:pPr>
            <w:r>
              <w:rPr>
                <w:rFonts w:hint="eastAsia" w:ascii="宋体" w:hAnsi="宋体" w:eastAsia="宋体" w:cs="宋体"/>
                <w:b w:val="0"/>
                <w:bCs/>
                <w:color w:val="000000"/>
                <w:kern w:val="0"/>
                <w:sz w:val="18"/>
                <w:szCs w:val="18"/>
                <w:lang w:val="en-US" w:eastAsia="zh-CN"/>
              </w:rPr>
              <w:t>5115</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eastAsia" w:ascii="宋体" w:hAnsi="宋体" w:eastAsia="宋体" w:cs="宋体"/>
                <w:b w:val="0"/>
                <w:bCs/>
                <w:color w:val="000000"/>
                <w:kern w:val="0"/>
                <w:sz w:val="18"/>
                <w:szCs w:val="18"/>
                <w:lang w:val="en-US" w:eastAsia="zh-CN"/>
              </w:rPr>
            </w:pPr>
            <w:r>
              <w:rPr>
                <w:rFonts w:hint="eastAsia" w:ascii="宋体" w:hAnsi="宋体" w:eastAsia="宋体" w:cs="宋体"/>
                <w:b w:val="0"/>
                <w:bCs/>
                <w:color w:val="000000"/>
                <w:kern w:val="0"/>
                <w:sz w:val="18"/>
                <w:szCs w:val="18"/>
                <w:lang w:val="en-US" w:eastAsia="zh-CN"/>
              </w:rPr>
              <w:t>11231.42</w:t>
            </w:r>
          </w:p>
        </w:tc>
        <w:tc>
          <w:tcPr>
            <w:tcW w:w="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eastAsia" w:ascii="宋体" w:hAnsi="宋体" w:eastAsia="宋体" w:cs="宋体"/>
                <w:b w:val="0"/>
                <w:bCs/>
                <w:color w:val="000000"/>
                <w:kern w:val="0"/>
                <w:sz w:val="18"/>
                <w:szCs w:val="18"/>
                <w:lang w:val="en-US" w:eastAsia="zh-CN"/>
              </w:rPr>
            </w:pPr>
            <w:r>
              <w:rPr>
                <w:rFonts w:hint="eastAsia" w:ascii="宋体" w:hAnsi="宋体" w:eastAsia="宋体" w:cs="宋体"/>
                <w:b w:val="0"/>
                <w:bCs/>
                <w:color w:val="000000"/>
                <w:kern w:val="0"/>
                <w:sz w:val="18"/>
                <w:szCs w:val="18"/>
                <w:lang w:val="en-US" w:eastAsia="zh-CN"/>
              </w:rPr>
              <w:t>42263.9</w:t>
            </w: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eastAsia" w:ascii="宋体" w:hAnsi="宋体" w:eastAsia="宋体" w:cs="宋体"/>
                <w:b w:val="0"/>
                <w:bCs/>
                <w:color w:val="000000"/>
                <w:kern w:val="0"/>
                <w:sz w:val="18"/>
                <w:szCs w:val="18"/>
                <w:lang w:val="en-US" w:eastAsia="zh-CN"/>
              </w:rPr>
            </w:pPr>
            <w:r>
              <w:rPr>
                <w:rFonts w:hint="eastAsia" w:ascii="宋体" w:hAnsi="宋体" w:eastAsia="宋体" w:cs="宋体"/>
                <w:b w:val="0"/>
                <w:bCs/>
                <w:color w:val="000000"/>
                <w:kern w:val="0"/>
                <w:sz w:val="18"/>
                <w:szCs w:val="18"/>
                <w:lang w:val="en-US" w:eastAsia="zh-CN"/>
              </w:rPr>
              <w:t>85703.49</w:t>
            </w:r>
          </w:p>
        </w:tc>
        <w:tc>
          <w:tcPr>
            <w:tcW w:w="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eastAsia" w:ascii="宋体" w:hAnsi="宋体" w:eastAsia="宋体" w:cs="宋体"/>
                <w:b w:val="0"/>
                <w:bCs/>
                <w:color w:val="000000"/>
                <w:kern w:val="0"/>
                <w:sz w:val="18"/>
                <w:szCs w:val="18"/>
                <w:lang w:val="en-US" w:eastAsia="zh-CN"/>
              </w:rPr>
            </w:pPr>
            <w:r>
              <w:rPr>
                <w:rFonts w:hint="eastAsia" w:ascii="宋体" w:hAnsi="宋体" w:eastAsia="宋体" w:cs="宋体"/>
                <w:b w:val="0"/>
                <w:bCs/>
                <w:color w:val="000000"/>
                <w:kern w:val="0"/>
                <w:sz w:val="18"/>
                <w:szCs w:val="18"/>
                <w:lang w:val="en-US" w:eastAsia="zh-CN"/>
              </w:rPr>
              <w:t>0</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eastAsia" w:ascii="宋体" w:hAnsi="宋体" w:eastAsia="宋体" w:cs="宋体"/>
                <w:b w:val="0"/>
                <w:bCs/>
                <w:color w:val="000000"/>
                <w:kern w:val="0"/>
                <w:sz w:val="18"/>
                <w:szCs w:val="18"/>
                <w:lang w:val="en-US" w:eastAsia="zh-CN"/>
              </w:rPr>
            </w:pPr>
            <w:r>
              <w:rPr>
                <w:rFonts w:hint="eastAsia" w:ascii="宋体" w:hAnsi="宋体" w:eastAsia="宋体" w:cs="宋体"/>
                <w:b w:val="0"/>
                <w:bCs/>
                <w:color w:val="000000"/>
                <w:kern w:val="0"/>
                <w:sz w:val="18"/>
                <w:szCs w:val="18"/>
                <w:lang w:val="en-US" w:eastAsia="zh-CN"/>
              </w:rPr>
              <w:t>575</w:t>
            </w:r>
          </w:p>
        </w:tc>
        <w:tc>
          <w:tcPr>
            <w:tcW w:w="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eastAsia" w:ascii="宋体" w:hAnsi="宋体" w:eastAsia="宋体" w:cs="宋体"/>
                <w:b w:val="0"/>
                <w:bCs/>
                <w:color w:val="000000"/>
                <w:kern w:val="0"/>
                <w:sz w:val="18"/>
                <w:szCs w:val="18"/>
                <w:lang w:val="en-US" w:eastAsia="zh-CN"/>
              </w:rPr>
            </w:pPr>
            <w:r>
              <w:rPr>
                <w:rFonts w:hint="eastAsia" w:ascii="宋体" w:hAnsi="宋体" w:eastAsia="宋体" w:cs="宋体"/>
                <w:b w:val="0"/>
                <w:bCs/>
                <w:color w:val="000000"/>
                <w:kern w:val="0"/>
                <w:sz w:val="18"/>
                <w:szCs w:val="18"/>
                <w:lang w:val="en-US" w:eastAsia="zh-CN"/>
              </w:rPr>
              <w:t>0</w:t>
            </w: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eastAsia" w:ascii="宋体" w:hAnsi="宋体" w:eastAsia="宋体" w:cs="宋体"/>
                <w:b w:val="0"/>
                <w:bCs/>
                <w:color w:val="000000"/>
                <w:kern w:val="0"/>
                <w:sz w:val="18"/>
                <w:szCs w:val="18"/>
                <w:lang w:val="en-US" w:eastAsia="zh-CN"/>
              </w:rPr>
            </w:pPr>
            <w:r>
              <w:rPr>
                <w:rFonts w:hint="eastAsia" w:ascii="宋体" w:hAnsi="宋体" w:eastAsia="宋体" w:cs="宋体"/>
                <w:b w:val="0"/>
                <w:bCs/>
                <w:color w:val="000000"/>
                <w:kern w:val="0"/>
                <w:sz w:val="18"/>
                <w:szCs w:val="18"/>
                <w:lang w:val="en-US" w:eastAsia="zh-CN"/>
              </w:rPr>
              <w:t>163710.4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6" w:hRule="atLeast"/>
        </w:trPr>
        <w:tc>
          <w:tcPr>
            <w:tcW w:w="8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ascii="宋体" w:hAnsi="宋体" w:eastAsia="宋体" w:cs="宋体"/>
                <w:b w:val="0"/>
                <w:bCs/>
                <w:color w:val="000000"/>
                <w:kern w:val="0"/>
                <w:sz w:val="18"/>
                <w:szCs w:val="18"/>
                <w:lang w:val="en-US" w:eastAsia="zh-CN"/>
              </w:rPr>
            </w:pPr>
            <w:r>
              <w:rPr>
                <w:rFonts w:hint="eastAsia" w:ascii="宋体" w:hAnsi="宋体" w:eastAsia="宋体" w:cs="宋体"/>
                <w:b w:val="0"/>
                <w:bCs/>
                <w:color w:val="000000"/>
                <w:kern w:val="0"/>
                <w:sz w:val="18"/>
                <w:szCs w:val="18"/>
                <w:lang w:val="en-US" w:eastAsia="zh-CN"/>
              </w:rPr>
              <w:t>绿色信贷余额及占比</w:t>
            </w:r>
          </w:p>
        </w:tc>
        <w:tc>
          <w:tcPr>
            <w:tcW w:w="150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ascii="宋体" w:hAnsi="宋体" w:eastAsia="宋体" w:cs="宋体"/>
                <w:b w:val="0"/>
                <w:bCs/>
                <w:color w:val="000000"/>
                <w:kern w:val="0"/>
                <w:sz w:val="18"/>
                <w:szCs w:val="18"/>
                <w:lang w:val="en-US" w:eastAsia="zh-CN"/>
              </w:rPr>
            </w:pPr>
            <w:r>
              <w:rPr>
                <w:rFonts w:hint="eastAsia" w:ascii="宋体" w:hAnsi="宋体" w:eastAsia="宋体" w:cs="宋体"/>
                <w:b w:val="0"/>
                <w:bCs/>
                <w:color w:val="000000"/>
                <w:kern w:val="0"/>
                <w:sz w:val="18"/>
                <w:szCs w:val="18"/>
                <w:lang w:val="en-US" w:eastAsia="zh-CN"/>
              </w:rPr>
              <w:t>各项贷款余额（万元）</w:t>
            </w:r>
          </w:p>
        </w:tc>
        <w:tc>
          <w:tcPr>
            <w:tcW w:w="6319"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default" w:ascii="宋体" w:hAnsi="宋体" w:eastAsia="宋体" w:cs="宋体"/>
                <w:b w:val="0"/>
                <w:bCs/>
                <w:color w:val="000000"/>
                <w:kern w:val="0"/>
                <w:sz w:val="18"/>
                <w:szCs w:val="18"/>
                <w:lang w:val="en-US" w:eastAsia="zh-CN"/>
              </w:rPr>
            </w:pPr>
            <w:r>
              <w:rPr>
                <w:rFonts w:hint="eastAsia" w:ascii="宋体" w:hAnsi="宋体" w:eastAsia="宋体" w:cs="宋体"/>
                <w:b w:val="0"/>
                <w:bCs/>
                <w:color w:val="000000"/>
                <w:kern w:val="0"/>
                <w:sz w:val="18"/>
                <w:szCs w:val="18"/>
                <w:lang w:val="en-US" w:eastAsia="zh-CN"/>
              </w:rPr>
              <w:t>4642371.76</w:t>
            </w: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eastAsia" w:ascii="宋体" w:hAnsi="宋体" w:eastAsia="宋体" w:cs="宋体"/>
                <w:b w:val="0"/>
                <w:bCs/>
                <w:color w:val="000000"/>
                <w:kern w:val="0"/>
                <w:sz w:val="18"/>
                <w:szCs w:val="18"/>
                <w:lang w:val="en-US" w:eastAsia="zh-CN"/>
              </w:rPr>
            </w:pPr>
            <w:r>
              <w:rPr>
                <w:rFonts w:hint="eastAsia" w:ascii="宋体" w:hAnsi="宋体" w:eastAsia="宋体" w:cs="宋体"/>
                <w:b w:val="0"/>
                <w:bCs/>
                <w:color w:val="000000"/>
                <w:kern w:val="0"/>
                <w:sz w:val="18"/>
                <w:szCs w:val="18"/>
                <w:lang w:val="en-US" w:eastAsia="zh-CN"/>
              </w:rPr>
              <w:t>4642371.76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6" w:hRule="atLeast"/>
        </w:trPr>
        <w:tc>
          <w:tcPr>
            <w:tcW w:w="8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ascii="宋体" w:hAnsi="宋体" w:eastAsia="宋体" w:cs="宋体"/>
                <w:b w:val="0"/>
                <w:bCs/>
                <w:color w:val="000000"/>
                <w:kern w:val="0"/>
                <w:sz w:val="18"/>
                <w:szCs w:val="18"/>
                <w:lang w:val="en-US" w:eastAsia="zh-CN"/>
              </w:rPr>
            </w:pPr>
            <w:r>
              <w:rPr>
                <w:rFonts w:hint="eastAsia" w:ascii="宋体" w:hAnsi="宋体" w:eastAsia="宋体" w:cs="宋体"/>
                <w:b w:val="0"/>
                <w:bCs/>
                <w:color w:val="000000"/>
                <w:kern w:val="0"/>
                <w:sz w:val="18"/>
                <w:szCs w:val="18"/>
                <w:lang w:val="en-US" w:eastAsia="zh-CN"/>
              </w:rPr>
              <w:t>绿色信贷余额及占比</w:t>
            </w:r>
          </w:p>
        </w:tc>
        <w:tc>
          <w:tcPr>
            <w:tcW w:w="150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ascii="宋体" w:hAnsi="宋体" w:eastAsia="宋体" w:cs="宋体"/>
                <w:b w:val="0"/>
                <w:bCs/>
                <w:color w:val="000000"/>
                <w:kern w:val="0"/>
                <w:sz w:val="18"/>
                <w:szCs w:val="18"/>
                <w:lang w:val="en-US" w:eastAsia="zh-CN"/>
              </w:rPr>
            </w:pPr>
            <w:r>
              <w:rPr>
                <w:rFonts w:hint="eastAsia" w:ascii="宋体" w:hAnsi="宋体" w:eastAsia="宋体" w:cs="宋体"/>
                <w:b w:val="0"/>
                <w:bCs/>
                <w:color w:val="000000"/>
                <w:kern w:val="0"/>
                <w:sz w:val="18"/>
                <w:szCs w:val="18"/>
                <w:lang w:val="en-US" w:eastAsia="zh-CN"/>
              </w:rPr>
              <w:t>绿色信贷占比（%）</w:t>
            </w: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default" w:ascii="宋体" w:hAnsi="宋体" w:eastAsia="宋体" w:cs="宋体"/>
                <w:b w:val="0"/>
                <w:bCs/>
                <w:color w:val="000000"/>
                <w:kern w:val="0"/>
                <w:sz w:val="18"/>
                <w:szCs w:val="18"/>
                <w:lang w:val="en-US" w:eastAsia="zh-CN"/>
              </w:rPr>
            </w:pPr>
            <w:r>
              <w:rPr>
                <w:rFonts w:hint="eastAsia" w:ascii="宋体" w:hAnsi="宋体" w:eastAsia="宋体" w:cs="宋体"/>
                <w:b w:val="0"/>
                <w:bCs/>
                <w:color w:val="000000"/>
                <w:kern w:val="0"/>
                <w:sz w:val="18"/>
                <w:szCs w:val="18"/>
                <w:lang w:val="en-US" w:eastAsia="zh-CN"/>
              </w:rPr>
              <w:t>0.08218%</w:t>
            </w: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eastAsia" w:ascii="宋体" w:hAnsi="宋体" w:eastAsia="宋体" w:cs="宋体"/>
                <w:b w:val="0"/>
                <w:bCs/>
                <w:color w:val="000000"/>
                <w:kern w:val="0"/>
                <w:sz w:val="18"/>
                <w:szCs w:val="18"/>
                <w:lang w:val="en-US" w:eastAsia="zh-CN"/>
              </w:rPr>
            </w:pPr>
            <w:r>
              <w:rPr>
                <w:rFonts w:hint="eastAsia" w:ascii="宋体" w:hAnsi="宋体" w:eastAsia="宋体" w:cs="宋体"/>
                <w:b w:val="0"/>
                <w:bCs/>
                <w:color w:val="000000"/>
                <w:kern w:val="0"/>
                <w:sz w:val="18"/>
                <w:szCs w:val="18"/>
                <w:lang w:val="en-US" w:eastAsia="zh-CN"/>
              </w:rPr>
              <w:t>0.32325%</w:t>
            </w:r>
          </w:p>
        </w:tc>
        <w:tc>
          <w:tcPr>
            <w:tcW w:w="7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eastAsia" w:ascii="宋体" w:hAnsi="宋体" w:eastAsia="宋体" w:cs="宋体"/>
                <w:b w:val="0"/>
                <w:bCs/>
                <w:color w:val="000000"/>
                <w:kern w:val="0"/>
                <w:sz w:val="18"/>
                <w:szCs w:val="18"/>
                <w:lang w:val="en-US" w:eastAsia="zh-CN"/>
              </w:rPr>
            </w:pPr>
            <w:r>
              <w:rPr>
                <w:rFonts w:hint="eastAsia" w:ascii="宋体" w:hAnsi="宋体" w:eastAsia="宋体" w:cs="宋体"/>
                <w:b w:val="0"/>
                <w:bCs/>
                <w:color w:val="000000"/>
                <w:kern w:val="0"/>
                <w:sz w:val="18"/>
                <w:szCs w:val="18"/>
                <w:lang w:val="en-US" w:eastAsia="zh-CN"/>
              </w:rPr>
              <w:t>0.11018%</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eastAsia" w:ascii="宋体" w:hAnsi="宋体" w:eastAsia="宋体" w:cs="宋体"/>
                <w:b w:val="0"/>
                <w:bCs/>
                <w:color w:val="000000"/>
                <w:kern w:val="0"/>
                <w:sz w:val="18"/>
                <w:szCs w:val="18"/>
                <w:lang w:val="en-US" w:eastAsia="zh-CN"/>
              </w:rPr>
            </w:pPr>
            <w:r>
              <w:rPr>
                <w:rFonts w:hint="eastAsia" w:ascii="宋体" w:hAnsi="宋体" w:eastAsia="宋体" w:cs="宋体"/>
                <w:b w:val="0"/>
                <w:bCs/>
                <w:color w:val="000000"/>
                <w:kern w:val="0"/>
                <w:sz w:val="18"/>
                <w:szCs w:val="18"/>
                <w:lang w:val="en-US" w:eastAsia="zh-CN"/>
              </w:rPr>
              <w:t>0.24193%</w:t>
            </w:r>
          </w:p>
        </w:tc>
        <w:tc>
          <w:tcPr>
            <w:tcW w:w="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eastAsia" w:ascii="宋体" w:hAnsi="宋体" w:eastAsia="宋体" w:cs="宋体"/>
                <w:b w:val="0"/>
                <w:bCs/>
                <w:color w:val="000000"/>
                <w:kern w:val="0"/>
                <w:sz w:val="18"/>
                <w:szCs w:val="18"/>
                <w:lang w:val="en-US" w:eastAsia="zh-CN"/>
              </w:rPr>
            </w:pPr>
            <w:r>
              <w:rPr>
                <w:rFonts w:hint="eastAsia" w:ascii="宋体" w:hAnsi="宋体" w:eastAsia="宋体" w:cs="宋体"/>
                <w:b w:val="0"/>
                <w:bCs/>
                <w:color w:val="000000"/>
                <w:kern w:val="0"/>
                <w:sz w:val="18"/>
                <w:szCs w:val="18"/>
                <w:lang w:val="en-US" w:eastAsia="zh-CN"/>
              </w:rPr>
              <w:t>0.91039%</w:t>
            </w: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eastAsia" w:ascii="宋体" w:hAnsi="宋体" w:eastAsia="宋体" w:cs="宋体"/>
                <w:b w:val="0"/>
                <w:bCs/>
                <w:color w:val="000000"/>
                <w:kern w:val="0"/>
                <w:sz w:val="18"/>
                <w:szCs w:val="18"/>
                <w:lang w:val="en-US" w:eastAsia="zh-CN"/>
              </w:rPr>
            </w:pPr>
            <w:r>
              <w:rPr>
                <w:rFonts w:hint="eastAsia" w:ascii="宋体" w:hAnsi="宋体" w:eastAsia="宋体" w:cs="宋体"/>
                <w:b w:val="0"/>
                <w:bCs/>
                <w:color w:val="000000"/>
                <w:kern w:val="0"/>
                <w:sz w:val="18"/>
                <w:szCs w:val="18"/>
                <w:lang w:val="en-US" w:eastAsia="zh-CN"/>
              </w:rPr>
              <w:t>1.84611%</w:t>
            </w:r>
          </w:p>
        </w:tc>
        <w:tc>
          <w:tcPr>
            <w:tcW w:w="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eastAsia" w:ascii="宋体" w:hAnsi="宋体" w:eastAsia="宋体" w:cs="宋体"/>
                <w:b w:val="0"/>
                <w:bCs/>
                <w:color w:val="000000"/>
                <w:kern w:val="0"/>
                <w:sz w:val="18"/>
                <w:szCs w:val="18"/>
                <w:lang w:val="en-US" w:eastAsia="zh-CN"/>
              </w:rPr>
            </w:pPr>
            <w:r>
              <w:rPr>
                <w:rFonts w:hint="eastAsia" w:ascii="宋体" w:hAnsi="宋体" w:eastAsia="宋体" w:cs="宋体"/>
                <w:b w:val="0"/>
                <w:bCs/>
                <w:color w:val="000000"/>
                <w:kern w:val="0"/>
                <w:sz w:val="18"/>
                <w:szCs w:val="18"/>
                <w:lang w:val="en-US" w:eastAsia="zh-CN"/>
              </w:rPr>
              <w:t>0%</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eastAsia" w:ascii="宋体" w:hAnsi="宋体" w:eastAsia="宋体" w:cs="宋体"/>
                <w:b w:val="0"/>
                <w:bCs/>
                <w:color w:val="000000"/>
                <w:kern w:val="0"/>
                <w:sz w:val="18"/>
                <w:szCs w:val="18"/>
                <w:lang w:val="en-US" w:eastAsia="zh-CN"/>
              </w:rPr>
            </w:pPr>
            <w:r>
              <w:rPr>
                <w:rFonts w:hint="eastAsia" w:ascii="宋体" w:hAnsi="宋体" w:eastAsia="宋体" w:cs="宋体"/>
                <w:b w:val="0"/>
                <w:bCs/>
                <w:color w:val="000000"/>
                <w:kern w:val="0"/>
                <w:sz w:val="18"/>
                <w:szCs w:val="18"/>
                <w:lang w:val="en-US" w:eastAsia="zh-CN"/>
              </w:rPr>
              <w:t>0.01239%</w:t>
            </w:r>
          </w:p>
        </w:tc>
        <w:tc>
          <w:tcPr>
            <w:tcW w:w="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eastAsia" w:ascii="宋体" w:hAnsi="宋体" w:eastAsia="宋体" w:cs="宋体"/>
                <w:b w:val="0"/>
                <w:bCs/>
                <w:color w:val="000000"/>
                <w:kern w:val="0"/>
                <w:sz w:val="18"/>
                <w:szCs w:val="18"/>
                <w:lang w:val="en-US" w:eastAsia="zh-CN"/>
              </w:rPr>
            </w:pPr>
            <w:r>
              <w:rPr>
                <w:rFonts w:hint="eastAsia" w:ascii="宋体" w:hAnsi="宋体" w:eastAsia="宋体" w:cs="宋体"/>
                <w:b w:val="0"/>
                <w:bCs/>
                <w:color w:val="000000"/>
                <w:kern w:val="0"/>
                <w:sz w:val="18"/>
                <w:szCs w:val="18"/>
                <w:lang w:val="en-US" w:eastAsia="zh-CN"/>
              </w:rPr>
              <w:t>0%</w:t>
            </w: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eastAsia" w:ascii="宋体" w:hAnsi="宋体" w:eastAsia="宋体" w:cs="宋体"/>
                <w:b w:val="0"/>
                <w:bCs/>
                <w:color w:val="000000"/>
                <w:kern w:val="0"/>
                <w:sz w:val="18"/>
                <w:szCs w:val="18"/>
                <w:lang w:val="en-US" w:eastAsia="zh-CN"/>
              </w:rPr>
            </w:pPr>
            <w:r>
              <w:rPr>
                <w:rFonts w:hint="eastAsia" w:ascii="宋体" w:hAnsi="宋体" w:eastAsia="宋体" w:cs="宋体"/>
                <w:b w:val="0"/>
                <w:bCs/>
                <w:color w:val="000000"/>
                <w:kern w:val="0"/>
                <w:sz w:val="18"/>
                <w:szCs w:val="18"/>
                <w:lang w:val="en-US" w:eastAsia="zh-CN"/>
              </w:rPr>
              <w:t>3.52644%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6" w:hRule="atLeast"/>
        </w:trPr>
        <w:tc>
          <w:tcPr>
            <w:tcW w:w="8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ascii="宋体" w:hAnsi="宋体" w:eastAsia="宋体" w:cs="宋体"/>
                <w:b w:val="0"/>
                <w:bCs/>
                <w:color w:val="000000"/>
                <w:kern w:val="0"/>
                <w:sz w:val="18"/>
                <w:szCs w:val="18"/>
                <w:lang w:val="en-US" w:eastAsia="zh-CN"/>
              </w:rPr>
            </w:pPr>
            <w:r>
              <w:rPr>
                <w:rFonts w:hint="eastAsia" w:ascii="宋体" w:hAnsi="宋体" w:eastAsia="宋体" w:cs="宋体"/>
                <w:b w:val="0"/>
                <w:bCs/>
                <w:color w:val="000000"/>
                <w:kern w:val="0"/>
                <w:sz w:val="18"/>
                <w:szCs w:val="18"/>
                <w:lang w:val="en-US" w:eastAsia="zh-CN"/>
              </w:rPr>
              <w:t>绿色信贷余额及占比</w:t>
            </w:r>
          </w:p>
        </w:tc>
        <w:tc>
          <w:tcPr>
            <w:tcW w:w="150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ascii="宋体" w:hAnsi="宋体" w:eastAsia="宋体" w:cs="宋体"/>
                <w:b w:val="0"/>
                <w:bCs/>
                <w:color w:val="000000"/>
                <w:kern w:val="0"/>
                <w:sz w:val="18"/>
                <w:szCs w:val="18"/>
                <w:lang w:val="en-US" w:eastAsia="zh-CN"/>
              </w:rPr>
            </w:pPr>
            <w:r>
              <w:rPr>
                <w:rFonts w:hint="eastAsia" w:ascii="宋体" w:hAnsi="宋体" w:eastAsia="宋体" w:cs="宋体"/>
                <w:b w:val="0"/>
                <w:bCs/>
                <w:color w:val="000000"/>
                <w:kern w:val="0"/>
                <w:sz w:val="18"/>
                <w:szCs w:val="18"/>
                <w:lang w:val="en-US" w:eastAsia="zh-CN"/>
              </w:rPr>
              <w:t>绿色信贷不良贷款余额（万元）</w:t>
            </w: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default" w:ascii="宋体" w:hAnsi="宋体" w:eastAsia="宋体" w:cs="宋体"/>
                <w:b w:val="0"/>
                <w:bCs/>
                <w:color w:val="000000"/>
                <w:kern w:val="0"/>
                <w:sz w:val="18"/>
                <w:szCs w:val="18"/>
                <w:lang w:val="en-US" w:eastAsia="zh-CN"/>
              </w:rPr>
            </w:pPr>
            <w:r>
              <w:rPr>
                <w:rFonts w:hint="eastAsia" w:ascii="宋体" w:hAnsi="宋体" w:eastAsia="宋体" w:cs="宋体"/>
                <w:b w:val="0"/>
                <w:bCs/>
                <w:color w:val="000000"/>
                <w:kern w:val="0"/>
                <w:sz w:val="18"/>
                <w:szCs w:val="18"/>
                <w:lang w:val="en-US" w:eastAsia="zh-CN"/>
              </w:rPr>
              <w:t>0</w:t>
            </w: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eastAsia" w:ascii="宋体" w:hAnsi="宋体" w:eastAsia="宋体" w:cs="宋体"/>
                <w:b w:val="0"/>
                <w:bCs/>
                <w:color w:val="000000"/>
                <w:kern w:val="0"/>
                <w:sz w:val="18"/>
                <w:szCs w:val="18"/>
                <w:lang w:val="en-US" w:eastAsia="zh-CN"/>
              </w:rPr>
            </w:pPr>
            <w:r>
              <w:rPr>
                <w:rFonts w:hint="eastAsia" w:ascii="宋体" w:hAnsi="宋体" w:eastAsia="宋体" w:cs="宋体"/>
                <w:b w:val="0"/>
                <w:bCs/>
                <w:color w:val="000000"/>
                <w:kern w:val="0"/>
                <w:sz w:val="18"/>
                <w:szCs w:val="18"/>
                <w:lang w:val="en-US" w:eastAsia="zh-CN"/>
              </w:rPr>
              <w:t>0</w:t>
            </w:r>
          </w:p>
        </w:tc>
        <w:tc>
          <w:tcPr>
            <w:tcW w:w="7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eastAsia" w:ascii="宋体" w:hAnsi="宋体" w:eastAsia="宋体" w:cs="宋体"/>
                <w:b w:val="0"/>
                <w:bCs/>
                <w:color w:val="000000"/>
                <w:kern w:val="0"/>
                <w:sz w:val="18"/>
                <w:szCs w:val="18"/>
                <w:lang w:val="en-US" w:eastAsia="zh-CN"/>
              </w:rPr>
            </w:pPr>
            <w:r>
              <w:rPr>
                <w:rFonts w:hint="eastAsia" w:ascii="宋体" w:hAnsi="宋体" w:eastAsia="宋体" w:cs="宋体"/>
                <w:b w:val="0"/>
                <w:bCs/>
                <w:color w:val="000000"/>
                <w:kern w:val="0"/>
                <w:sz w:val="18"/>
                <w:szCs w:val="18"/>
                <w:lang w:val="en-US" w:eastAsia="zh-CN"/>
              </w:rPr>
              <w:t>0</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eastAsia" w:ascii="宋体" w:hAnsi="宋体" w:eastAsia="宋体" w:cs="宋体"/>
                <w:b w:val="0"/>
                <w:bCs/>
                <w:color w:val="000000"/>
                <w:kern w:val="0"/>
                <w:sz w:val="18"/>
                <w:szCs w:val="18"/>
                <w:lang w:val="en-US" w:eastAsia="zh-CN"/>
              </w:rPr>
            </w:pPr>
            <w:r>
              <w:rPr>
                <w:rFonts w:hint="eastAsia" w:ascii="宋体" w:hAnsi="宋体" w:eastAsia="宋体" w:cs="宋体"/>
                <w:b w:val="0"/>
                <w:bCs/>
                <w:color w:val="000000"/>
                <w:kern w:val="0"/>
                <w:sz w:val="18"/>
                <w:szCs w:val="18"/>
                <w:lang w:val="en-US" w:eastAsia="zh-CN"/>
              </w:rPr>
              <w:t>0</w:t>
            </w:r>
          </w:p>
        </w:tc>
        <w:tc>
          <w:tcPr>
            <w:tcW w:w="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eastAsia" w:ascii="宋体" w:hAnsi="宋体" w:eastAsia="宋体" w:cs="宋体"/>
                <w:b w:val="0"/>
                <w:bCs/>
                <w:color w:val="000000"/>
                <w:kern w:val="0"/>
                <w:sz w:val="18"/>
                <w:szCs w:val="18"/>
                <w:lang w:val="en-US" w:eastAsia="zh-CN"/>
              </w:rPr>
            </w:pPr>
            <w:r>
              <w:rPr>
                <w:rFonts w:hint="eastAsia" w:ascii="宋体" w:hAnsi="宋体" w:eastAsia="宋体" w:cs="宋体"/>
                <w:b w:val="0"/>
                <w:bCs/>
                <w:color w:val="000000"/>
                <w:kern w:val="0"/>
                <w:sz w:val="18"/>
                <w:szCs w:val="18"/>
                <w:lang w:val="en-US" w:eastAsia="zh-CN"/>
              </w:rPr>
              <w:t>0</w:t>
            </w: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eastAsia" w:ascii="宋体" w:hAnsi="宋体" w:eastAsia="宋体" w:cs="宋体"/>
                <w:b w:val="0"/>
                <w:bCs/>
                <w:color w:val="000000"/>
                <w:kern w:val="0"/>
                <w:sz w:val="18"/>
                <w:szCs w:val="18"/>
                <w:lang w:val="en-US" w:eastAsia="zh-CN"/>
              </w:rPr>
            </w:pPr>
            <w:r>
              <w:rPr>
                <w:rFonts w:hint="eastAsia" w:ascii="宋体" w:hAnsi="宋体" w:eastAsia="宋体" w:cs="宋体"/>
                <w:b w:val="0"/>
                <w:bCs/>
                <w:color w:val="000000"/>
                <w:kern w:val="0"/>
                <w:sz w:val="18"/>
                <w:szCs w:val="18"/>
                <w:lang w:val="en-US" w:eastAsia="zh-CN"/>
              </w:rPr>
              <w:t>0</w:t>
            </w:r>
          </w:p>
        </w:tc>
        <w:tc>
          <w:tcPr>
            <w:tcW w:w="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eastAsia" w:ascii="宋体" w:hAnsi="宋体" w:eastAsia="宋体" w:cs="宋体"/>
                <w:b w:val="0"/>
                <w:bCs/>
                <w:color w:val="000000"/>
                <w:kern w:val="0"/>
                <w:sz w:val="18"/>
                <w:szCs w:val="18"/>
                <w:lang w:val="en-US" w:eastAsia="zh-CN"/>
              </w:rPr>
            </w:pPr>
            <w:r>
              <w:rPr>
                <w:rFonts w:hint="eastAsia" w:ascii="宋体" w:hAnsi="宋体" w:eastAsia="宋体" w:cs="宋体"/>
                <w:b w:val="0"/>
                <w:bCs/>
                <w:color w:val="000000"/>
                <w:kern w:val="0"/>
                <w:sz w:val="18"/>
                <w:szCs w:val="18"/>
                <w:lang w:val="en-US" w:eastAsia="zh-CN"/>
              </w:rPr>
              <w:t>0</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eastAsia" w:ascii="宋体" w:hAnsi="宋体" w:eastAsia="宋体" w:cs="宋体"/>
                <w:b w:val="0"/>
                <w:bCs/>
                <w:color w:val="000000"/>
                <w:kern w:val="0"/>
                <w:sz w:val="18"/>
                <w:szCs w:val="18"/>
                <w:lang w:val="en-US" w:eastAsia="zh-CN"/>
              </w:rPr>
            </w:pPr>
            <w:r>
              <w:rPr>
                <w:rFonts w:hint="eastAsia" w:ascii="宋体" w:hAnsi="宋体" w:eastAsia="宋体" w:cs="宋体"/>
                <w:b w:val="0"/>
                <w:bCs/>
                <w:color w:val="000000"/>
                <w:kern w:val="0"/>
                <w:sz w:val="18"/>
                <w:szCs w:val="18"/>
                <w:lang w:val="en-US" w:eastAsia="zh-CN"/>
              </w:rPr>
              <w:t>0</w:t>
            </w:r>
          </w:p>
        </w:tc>
        <w:tc>
          <w:tcPr>
            <w:tcW w:w="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eastAsia" w:ascii="宋体" w:hAnsi="宋体" w:eastAsia="宋体" w:cs="宋体"/>
                <w:b w:val="0"/>
                <w:bCs/>
                <w:color w:val="000000"/>
                <w:kern w:val="0"/>
                <w:sz w:val="18"/>
                <w:szCs w:val="18"/>
                <w:lang w:val="en-US" w:eastAsia="zh-CN"/>
              </w:rPr>
            </w:pPr>
            <w:r>
              <w:rPr>
                <w:rFonts w:hint="eastAsia" w:ascii="宋体" w:hAnsi="宋体" w:eastAsia="宋体" w:cs="宋体"/>
                <w:b w:val="0"/>
                <w:bCs/>
                <w:color w:val="000000"/>
                <w:kern w:val="0"/>
                <w:sz w:val="18"/>
                <w:szCs w:val="18"/>
                <w:lang w:val="en-US" w:eastAsia="zh-CN"/>
              </w:rPr>
              <w:t>0</w:t>
            </w: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eastAsia" w:ascii="宋体" w:hAnsi="宋体" w:eastAsia="宋体" w:cs="宋体"/>
                <w:b w:val="0"/>
                <w:bCs/>
                <w:color w:val="000000"/>
                <w:kern w:val="0"/>
                <w:sz w:val="18"/>
                <w:szCs w:val="18"/>
                <w:lang w:val="en-US" w:eastAsia="zh-CN"/>
              </w:rPr>
            </w:pPr>
            <w:r>
              <w:rPr>
                <w:rFonts w:hint="eastAsia" w:ascii="宋体" w:hAnsi="宋体" w:eastAsia="宋体" w:cs="宋体"/>
                <w:b w:val="0"/>
                <w:bCs/>
                <w:color w:val="000000"/>
                <w:kern w:val="0"/>
                <w:sz w:val="18"/>
                <w:szCs w:val="18"/>
                <w:lang w:val="en-US" w:eastAsia="zh-CN"/>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6" w:hRule="atLeast"/>
        </w:trPr>
        <w:tc>
          <w:tcPr>
            <w:tcW w:w="8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ascii="宋体" w:hAnsi="宋体" w:eastAsia="宋体" w:cs="宋体"/>
                <w:b w:val="0"/>
                <w:bCs/>
                <w:color w:val="000000"/>
                <w:kern w:val="0"/>
                <w:sz w:val="18"/>
                <w:szCs w:val="18"/>
                <w:lang w:val="en-US" w:eastAsia="zh-CN"/>
              </w:rPr>
            </w:pPr>
            <w:r>
              <w:rPr>
                <w:rFonts w:hint="eastAsia" w:ascii="宋体" w:hAnsi="宋体" w:eastAsia="宋体" w:cs="宋体"/>
                <w:b w:val="0"/>
                <w:bCs/>
                <w:color w:val="000000"/>
                <w:kern w:val="0"/>
                <w:sz w:val="18"/>
                <w:szCs w:val="18"/>
                <w:lang w:val="en-US" w:eastAsia="zh-CN"/>
              </w:rPr>
              <w:t>绿色信贷余额及占比</w:t>
            </w:r>
          </w:p>
        </w:tc>
        <w:tc>
          <w:tcPr>
            <w:tcW w:w="150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ascii="宋体" w:hAnsi="宋体" w:eastAsia="宋体" w:cs="宋体"/>
                <w:b w:val="0"/>
                <w:bCs/>
                <w:color w:val="000000"/>
                <w:kern w:val="0"/>
                <w:sz w:val="18"/>
                <w:szCs w:val="18"/>
                <w:lang w:val="en-US" w:eastAsia="zh-CN"/>
              </w:rPr>
            </w:pPr>
            <w:r>
              <w:rPr>
                <w:rFonts w:hint="eastAsia" w:ascii="宋体" w:hAnsi="宋体" w:eastAsia="宋体" w:cs="宋体"/>
                <w:b w:val="0"/>
                <w:bCs/>
                <w:color w:val="000000"/>
                <w:kern w:val="0"/>
                <w:sz w:val="18"/>
                <w:szCs w:val="18"/>
                <w:lang w:val="en-US" w:eastAsia="zh-CN"/>
              </w:rPr>
              <w:t>绿色信贷不良率（%）</w:t>
            </w: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default" w:ascii="宋体" w:hAnsi="宋体" w:eastAsia="宋体" w:cs="宋体"/>
                <w:b w:val="0"/>
                <w:bCs/>
                <w:color w:val="000000"/>
                <w:kern w:val="0"/>
                <w:sz w:val="18"/>
                <w:szCs w:val="18"/>
                <w:lang w:val="en-US" w:eastAsia="zh-CN"/>
              </w:rPr>
            </w:pPr>
            <w:r>
              <w:rPr>
                <w:rFonts w:hint="eastAsia" w:ascii="宋体" w:hAnsi="宋体" w:eastAsia="宋体" w:cs="宋体"/>
                <w:b w:val="0"/>
                <w:bCs/>
                <w:color w:val="000000"/>
                <w:kern w:val="0"/>
                <w:sz w:val="18"/>
                <w:szCs w:val="18"/>
                <w:lang w:val="en-US" w:eastAsia="zh-CN"/>
              </w:rPr>
              <w:t>0%</w:t>
            </w: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eastAsia" w:ascii="宋体" w:hAnsi="宋体" w:eastAsia="宋体" w:cs="宋体"/>
                <w:b w:val="0"/>
                <w:bCs/>
                <w:color w:val="000000"/>
                <w:kern w:val="0"/>
                <w:sz w:val="18"/>
                <w:szCs w:val="18"/>
                <w:lang w:val="en-US" w:eastAsia="zh-CN"/>
              </w:rPr>
            </w:pPr>
            <w:r>
              <w:rPr>
                <w:rFonts w:hint="eastAsia" w:ascii="宋体" w:hAnsi="宋体" w:eastAsia="宋体" w:cs="宋体"/>
                <w:b w:val="0"/>
                <w:bCs/>
                <w:color w:val="000000"/>
                <w:kern w:val="0"/>
                <w:sz w:val="18"/>
                <w:szCs w:val="18"/>
                <w:lang w:val="en-US" w:eastAsia="zh-CN"/>
              </w:rPr>
              <w:t>0%</w:t>
            </w:r>
          </w:p>
        </w:tc>
        <w:tc>
          <w:tcPr>
            <w:tcW w:w="7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eastAsia" w:ascii="宋体" w:hAnsi="宋体" w:eastAsia="宋体" w:cs="宋体"/>
                <w:b w:val="0"/>
                <w:bCs/>
                <w:color w:val="000000"/>
                <w:kern w:val="0"/>
                <w:sz w:val="18"/>
                <w:szCs w:val="18"/>
                <w:lang w:val="en-US" w:eastAsia="zh-CN"/>
              </w:rPr>
            </w:pPr>
            <w:r>
              <w:rPr>
                <w:rFonts w:hint="eastAsia" w:ascii="宋体" w:hAnsi="宋体" w:eastAsia="宋体" w:cs="宋体"/>
                <w:b w:val="0"/>
                <w:bCs/>
                <w:color w:val="000000"/>
                <w:kern w:val="0"/>
                <w:sz w:val="18"/>
                <w:szCs w:val="18"/>
                <w:lang w:val="en-US" w:eastAsia="zh-CN"/>
              </w:rPr>
              <w:t>0%</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eastAsia" w:ascii="宋体" w:hAnsi="宋体" w:eastAsia="宋体" w:cs="宋体"/>
                <w:b w:val="0"/>
                <w:bCs/>
                <w:color w:val="000000"/>
                <w:kern w:val="0"/>
                <w:sz w:val="18"/>
                <w:szCs w:val="18"/>
                <w:lang w:val="en-US" w:eastAsia="zh-CN"/>
              </w:rPr>
            </w:pPr>
            <w:r>
              <w:rPr>
                <w:rFonts w:hint="eastAsia" w:ascii="宋体" w:hAnsi="宋体" w:eastAsia="宋体" w:cs="宋体"/>
                <w:b w:val="0"/>
                <w:bCs/>
                <w:color w:val="000000"/>
                <w:kern w:val="0"/>
                <w:sz w:val="18"/>
                <w:szCs w:val="18"/>
                <w:lang w:val="en-US" w:eastAsia="zh-CN"/>
              </w:rPr>
              <w:t>0%</w:t>
            </w:r>
          </w:p>
        </w:tc>
        <w:tc>
          <w:tcPr>
            <w:tcW w:w="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eastAsia" w:ascii="宋体" w:hAnsi="宋体" w:eastAsia="宋体" w:cs="宋体"/>
                <w:b w:val="0"/>
                <w:bCs/>
                <w:color w:val="000000"/>
                <w:kern w:val="0"/>
                <w:sz w:val="18"/>
                <w:szCs w:val="18"/>
                <w:lang w:val="en-US" w:eastAsia="zh-CN"/>
              </w:rPr>
            </w:pPr>
            <w:r>
              <w:rPr>
                <w:rFonts w:hint="eastAsia" w:ascii="宋体" w:hAnsi="宋体" w:eastAsia="宋体" w:cs="宋体"/>
                <w:b w:val="0"/>
                <w:bCs/>
                <w:color w:val="000000"/>
                <w:kern w:val="0"/>
                <w:sz w:val="18"/>
                <w:szCs w:val="18"/>
                <w:lang w:val="en-US" w:eastAsia="zh-CN"/>
              </w:rPr>
              <w:t>0%</w:t>
            </w: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eastAsia" w:ascii="宋体" w:hAnsi="宋体" w:eastAsia="宋体" w:cs="宋体"/>
                <w:b w:val="0"/>
                <w:bCs/>
                <w:color w:val="000000"/>
                <w:kern w:val="0"/>
                <w:sz w:val="18"/>
                <w:szCs w:val="18"/>
                <w:lang w:val="en-US" w:eastAsia="zh-CN"/>
              </w:rPr>
            </w:pPr>
            <w:r>
              <w:rPr>
                <w:rFonts w:hint="eastAsia" w:ascii="宋体" w:hAnsi="宋体" w:eastAsia="宋体" w:cs="宋体"/>
                <w:b w:val="0"/>
                <w:bCs/>
                <w:color w:val="000000"/>
                <w:kern w:val="0"/>
                <w:sz w:val="18"/>
                <w:szCs w:val="18"/>
                <w:lang w:val="en-US" w:eastAsia="zh-CN"/>
              </w:rPr>
              <w:t>0%</w:t>
            </w:r>
          </w:p>
        </w:tc>
        <w:tc>
          <w:tcPr>
            <w:tcW w:w="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eastAsia" w:ascii="宋体" w:hAnsi="宋体" w:eastAsia="宋体" w:cs="宋体"/>
                <w:b w:val="0"/>
                <w:bCs/>
                <w:color w:val="000000"/>
                <w:kern w:val="0"/>
                <w:sz w:val="18"/>
                <w:szCs w:val="18"/>
                <w:lang w:val="en-US" w:eastAsia="zh-CN"/>
              </w:rPr>
            </w:pPr>
            <w:r>
              <w:rPr>
                <w:rFonts w:hint="eastAsia" w:ascii="宋体" w:hAnsi="宋体" w:eastAsia="宋体" w:cs="宋体"/>
                <w:b w:val="0"/>
                <w:bCs/>
                <w:color w:val="000000"/>
                <w:kern w:val="0"/>
                <w:sz w:val="18"/>
                <w:szCs w:val="18"/>
                <w:lang w:val="en-US" w:eastAsia="zh-CN"/>
              </w:rPr>
              <w:t>0%</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eastAsia" w:ascii="宋体" w:hAnsi="宋体" w:eastAsia="宋体" w:cs="宋体"/>
                <w:b w:val="0"/>
                <w:bCs/>
                <w:color w:val="000000"/>
                <w:kern w:val="0"/>
                <w:sz w:val="18"/>
                <w:szCs w:val="18"/>
                <w:lang w:val="en-US" w:eastAsia="zh-CN"/>
              </w:rPr>
            </w:pPr>
            <w:r>
              <w:rPr>
                <w:rFonts w:hint="eastAsia" w:ascii="宋体" w:hAnsi="宋体" w:eastAsia="宋体" w:cs="宋体"/>
                <w:b w:val="0"/>
                <w:bCs/>
                <w:color w:val="000000"/>
                <w:kern w:val="0"/>
                <w:sz w:val="18"/>
                <w:szCs w:val="18"/>
                <w:lang w:val="en-US" w:eastAsia="zh-CN"/>
              </w:rPr>
              <w:t>0%</w:t>
            </w:r>
          </w:p>
        </w:tc>
        <w:tc>
          <w:tcPr>
            <w:tcW w:w="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eastAsia" w:ascii="宋体" w:hAnsi="宋体" w:eastAsia="宋体" w:cs="宋体"/>
                <w:b w:val="0"/>
                <w:bCs/>
                <w:color w:val="000000"/>
                <w:kern w:val="0"/>
                <w:sz w:val="18"/>
                <w:szCs w:val="18"/>
                <w:lang w:val="en-US" w:eastAsia="zh-CN"/>
              </w:rPr>
            </w:pPr>
            <w:r>
              <w:rPr>
                <w:rFonts w:hint="eastAsia" w:ascii="宋体" w:hAnsi="宋体" w:eastAsia="宋体" w:cs="宋体"/>
                <w:b w:val="0"/>
                <w:bCs/>
                <w:color w:val="000000"/>
                <w:kern w:val="0"/>
                <w:sz w:val="18"/>
                <w:szCs w:val="18"/>
                <w:lang w:val="en-US" w:eastAsia="zh-CN"/>
              </w:rPr>
              <w:t>0%</w:t>
            </w: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eastAsia" w:ascii="宋体" w:hAnsi="宋体" w:eastAsia="宋体" w:cs="宋体"/>
                <w:b w:val="0"/>
                <w:bCs/>
                <w:color w:val="000000"/>
                <w:kern w:val="0"/>
                <w:sz w:val="18"/>
                <w:szCs w:val="18"/>
                <w:lang w:val="en-US" w:eastAsia="zh-CN"/>
              </w:rPr>
            </w:pPr>
            <w:r>
              <w:rPr>
                <w:rFonts w:hint="eastAsia" w:ascii="宋体" w:hAnsi="宋体" w:eastAsia="宋体" w:cs="宋体"/>
                <w:b w:val="0"/>
                <w:bCs/>
                <w:color w:val="000000"/>
                <w:kern w:val="0"/>
                <w:sz w:val="18"/>
                <w:szCs w:val="18"/>
                <w:lang w:val="en-US" w:eastAsia="zh-CN"/>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6" w:hRule="atLeast"/>
        </w:trPr>
        <w:tc>
          <w:tcPr>
            <w:tcW w:w="8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ascii="宋体" w:hAnsi="宋体" w:eastAsia="宋体" w:cs="宋体"/>
                <w:b w:val="0"/>
                <w:bCs/>
                <w:color w:val="000000"/>
                <w:kern w:val="0"/>
                <w:sz w:val="18"/>
                <w:szCs w:val="18"/>
                <w:lang w:val="en-US" w:eastAsia="zh-CN"/>
              </w:rPr>
            </w:pPr>
            <w:r>
              <w:rPr>
                <w:rFonts w:hint="eastAsia" w:ascii="宋体" w:hAnsi="宋体" w:eastAsia="宋体" w:cs="宋体"/>
                <w:b w:val="0"/>
                <w:bCs/>
                <w:color w:val="000000"/>
                <w:kern w:val="0"/>
                <w:sz w:val="18"/>
                <w:szCs w:val="18"/>
                <w:lang w:val="en-US" w:eastAsia="zh-CN"/>
              </w:rPr>
              <w:t>绿色信贷金额变动折合减排情况</w:t>
            </w:r>
          </w:p>
        </w:tc>
        <w:tc>
          <w:tcPr>
            <w:tcW w:w="150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ascii="宋体" w:hAnsi="宋体" w:eastAsia="宋体" w:cs="宋体"/>
                <w:b w:val="0"/>
                <w:bCs/>
                <w:color w:val="000000"/>
                <w:kern w:val="0"/>
                <w:sz w:val="18"/>
                <w:szCs w:val="18"/>
                <w:lang w:val="en-US" w:eastAsia="zh-CN"/>
              </w:rPr>
            </w:pPr>
            <w:r>
              <w:rPr>
                <w:rFonts w:hint="eastAsia" w:ascii="宋体" w:hAnsi="宋体" w:eastAsia="宋体" w:cs="宋体"/>
                <w:b w:val="0"/>
                <w:bCs/>
                <w:color w:val="000000"/>
                <w:kern w:val="0"/>
                <w:sz w:val="18"/>
                <w:szCs w:val="18"/>
                <w:lang w:val="en-US" w:eastAsia="zh-CN"/>
              </w:rPr>
              <w:t>折合减排标准煤（吨）</w:t>
            </w: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default" w:ascii="宋体" w:hAnsi="宋体" w:eastAsia="宋体" w:cs="宋体"/>
                <w:b w:val="0"/>
                <w:bCs/>
                <w:color w:val="000000"/>
                <w:kern w:val="0"/>
                <w:sz w:val="18"/>
                <w:szCs w:val="18"/>
                <w:lang w:val="en-US" w:eastAsia="zh-CN"/>
              </w:rPr>
            </w:pPr>
            <w:r>
              <w:rPr>
                <w:rFonts w:hint="eastAsia" w:ascii="宋体" w:hAnsi="宋体" w:eastAsia="宋体" w:cs="宋体"/>
                <w:b w:val="0"/>
                <w:bCs/>
                <w:color w:val="000000"/>
                <w:kern w:val="0"/>
                <w:sz w:val="18"/>
                <w:szCs w:val="18"/>
                <w:lang w:val="en-US" w:eastAsia="zh-CN"/>
              </w:rPr>
              <w:t>0</w:t>
            </w: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eastAsia" w:ascii="宋体" w:hAnsi="宋体" w:eastAsia="宋体" w:cs="宋体"/>
                <w:b w:val="0"/>
                <w:bCs/>
                <w:color w:val="000000"/>
                <w:kern w:val="0"/>
                <w:sz w:val="18"/>
                <w:szCs w:val="18"/>
                <w:lang w:val="en-US" w:eastAsia="zh-CN"/>
              </w:rPr>
            </w:pPr>
            <w:r>
              <w:rPr>
                <w:rFonts w:hint="eastAsia" w:ascii="宋体" w:hAnsi="宋体" w:eastAsia="宋体" w:cs="宋体"/>
                <w:b w:val="0"/>
                <w:bCs/>
                <w:color w:val="000000"/>
                <w:kern w:val="0"/>
                <w:sz w:val="18"/>
                <w:szCs w:val="18"/>
                <w:lang w:val="en-US" w:eastAsia="zh-CN"/>
              </w:rPr>
              <w:t>0</w:t>
            </w:r>
          </w:p>
        </w:tc>
        <w:tc>
          <w:tcPr>
            <w:tcW w:w="7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eastAsia" w:ascii="宋体" w:hAnsi="宋体" w:eastAsia="宋体" w:cs="宋体"/>
                <w:b w:val="0"/>
                <w:bCs/>
                <w:color w:val="000000"/>
                <w:kern w:val="0"/>
                <w:sz w:val="18"/>
                <w:szCs w:val="18"/>
                <w:lang w:val="en-US" w:eastAsia="zh-CN"/>
              </w:rPr>
            </w:pPr>
            <w:r>
              <w:rPr>
                <w:rFonts w:hint="eastAsia" w:ascii="宋体" w:hAnsi="宋体" w:eastAsia="宋体" w:cs="宋体"/>
                <w:b w:val="0"/>
                <w:bCs/>
                <w:color w:val="000000"/>
                <w:kern w:val="0"/>
                <w:sz w:val="18"/>
                <w:szCs w:val="18"/>
                <w:lang w:val="en-US" w:eastAsia="zh-CN"/>
              </w:rPr>
              <w:t>0</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eastAsia" w:ascii="宋体" w:hAnsi="宋体" w:eastAsia="宋体" w:cs="宋体"/>
                <w:b w:val="0"/>
                <w:bCs/>
                <w:color w:val="000000"/>
                <w:kern w:val="0"/>
                <w:sz w:val="18"/>
                <w:szCs w:val="18"/>
                <w:lang w:val="en-US" w:eastAsia="zh-CN"/>
              </w:rPr>
            </w:pPr>
            <w:r>
              <w:rPr>
                <w:rFonts w:hint="eastAsia" w:ascii="宋体" w:hAnsi="宋体" w:eastAsia="宋体" w:cs="宋体"/>
                <w:b w:val="0"/>
                <w:bCs/>
                <w:color w:val="000000"/>
                <w:kern w:val="0"/>
                <w:sz w:val="18"/>
                <w:szCs w:val="18"/>
                <w:lang w:val="en-US" w:eastAsia="zh-CN"/>
              </w:rPr>
              <w:t>67.2356</w:t>
            </w:r>
          </w:p>
        </w:tc>
        <w:tc>
          <w:tcPr>
            <w:tcW w:w="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eastAsia" w:ascii="宋体" w:hAnsi="宋体" w:eastAsia="宋体" w:cs="宋体"/>
                <w:b w:val="0"/>
                <w:bCs/>
                <w:color w:val="000000"/>
                <w:kern w:val="0"/>
                <w:sz w:val="18"/>
                <w:szCs w:val="18"/>
                <w:lang w:val="en-US" w:eastAsia="zh-CN"/>
              </w:rPr>
            </w:pPr>
            <w:r>
              <w:rPr>
                <w:rFonts w:hint="eastAsia" w:ascii="宋体" w:hAnsi="宋体" w:eastAsia="宋体" w:cs="宋体"/>
                <w:b w:val="0"/>
                <w:bCs/>
                <w:color w:val="000000"/>
                <w:kern w:val="0"/>
                <w:sz w:val="18"/>
                <w:szCs w:val="18"/>
                <w:lang w:val="en-US" w:eastAsia="zh-CN"/>
              </w:rPr>
              <w:t>0</w:t>
            </w: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eastAsia" w:ascii="宋体" w:hAnsi="宋体" w:eastAsia="宋体" w:cs="宋体"/>
                <w:b w:val="0"/>
                <w:bCs/>
                <w:color w:val="000000"/>
                <w:kern w:val="0"/>
                <w:sz w:val="18"/>
                <w:szCs w:val="18"/>
                <w:lang w:val="en-US" w:eastAsia="zh-CN"/>
              </w:rPr>
            </w:pPr>
            <w:r>
              <w:rPr>
                <w:rFonts w:hint="eastAsia" w:ascii="宋体" w:hAnsi="宋体" w:eastAsia="宋体" w:cs="宋体"/>
                <w:b w:val="0"/>
                <w:bCs/>
                <w:color w:val="000000"/>
                <w:kern w:val="0"/>
                <w:sz w:val="18"/>
                <w:szCs w:val="18"/>
                <w:lang w:val="en-US" w:eastAsia="zh-CN"/>
              </w:rPr>
              <w:t>0</w:t>
            </w:r>
          </w:p>
        </w:tc>
        <w:tc>
          <w:tcPr>
            <w:tcW w:w="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eastAsia" w:ascii="宋体" w:hAnsi="宋体" w:eastAsia="宋体" w:cs="宋体"/>
                <w:b w:val="0"/>
                <w:bCs/>
                <w:color w:val="000000"/>
                <w:kern w:val="0"/>
                <w:sz w:val="18"/>
                <w:szCs w:val="18"/>
                <w:lang w:val="en-US" w:eastAsia="zh-CN"/>
              </w:rPr>
            </w:pPr>
            <w:r>
              <w:rPr>
                <w:rFonts w:hint="eastAsia" w:ascii="宋体" w:hAnsi="宋体" w:eastAsia="宋体" w:cs="宋体"/>
                <w:b w:val="0"/>
                <w:bCs/>
                <w:color w:val="000000"/>
                <w:kern w:val="0"/>
                <w:sz w:val="18"/>
                <w:szCs w:val="18"/>
                <w:lang w:val="en-US" w:eastAsia="zh-CN"/>
              </w:rPr>
              <w:t>0</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eastAsia" w:ascii="宋体" w:hAnsi="宋体" w:eastAsia="宋体" w:cs="宋体"/>
                <w:b w:val="0"/>
                <w:bCs/>
                <w:color w:val="000000"/>
                <w:kern w:val="0"/>
                <w:sz w:val="18"/>
                <w:szCs w:val="18"/>
                <w:lang w:val="en-US" w:eastAsia="zh-CN"/>
              </w:rPr>
            </w:pPr>
            <w:r>
              <w:rPr>
                <w:rFonts w:hint="eastAsia" w:ascii="宋体" w:hAnsi="宋体" w:eastAsia="宋体" w:cs="宋体"/>
                <w:b w:val="0"/>
                <w:bCs/>
                <w:color w:val="000000"/>
                <w:kern w:val="0"/>
                <w:sz w:val="18"/>
                <w:szCs w:val="18"/>
                <w:lang w:val="en-US" w:eastAsia="zh-CN"/>
              </w:rPr>
              <w:t>0</w:t>
            </w:r>
          </w:p>
        </w:tc>
        <w:tc>
          <w:tcPr>
            <w:tcW w:w="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eastAsia" w:ascii="宋体" w:hAnsi="宋体" w:eastAsia="宋体" w:cs="宋体"/>
                <w:b w:val="0"/>
                <w:bCs/>
                <w:color w:val="000000"/>
                <w:kern w:val="0"/>
                <w:sz w:val="18"/>
                <w:szCs w:val="18"/>
                <w:lang w:val="en-US" w:eastAsia="zh-CN"/>
              </w:rPr>
            </w:pPr>
            <w:r>
              <w:rPr>
                <w:rFonts w:hint="eastAsia" w:ascii="宋体" w:hAnsi="宋体" w:eastAsia="宋体" w:cs="宋体"/>
                <w:b w:val="0"/>
                <w:bCs/>
                <w:color w:val="000000"/>
                <w:kern w:val="0"/>
                <w:sz w:val="18"/>
                <w:szCs w:val="18"/>
                <w:lang w:val="en-US" w:eastAsia="zh-CN"/>
              </w:rPr>
              <w:t>0</w:t>
            </w: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eastAsia" w:ascii="宋体" w:hAnsi="宋体" w:eastAsia="宋体" w:cs="宋体"/>
                <w:b w:val="0"/>
                <w:bCs/>
                <w:color w:val="000000"/>
                <w:kern w:val="0"/>
                <w:sz w:val="18"/>
                <w:szCs w:val="18"/>
                <w:lang w:val="en-US" w:eastAsia="zh-CN"/>
              </w:rPr>
            </w:pPr>
            <w:r>
              <w:rPr>
                <w:rFonts w:hint="eastAsia" w:ascii="宋体" w:hAnsi="宋体" w:eastAsia="宋体" w:cs="宋体"/>
                <w:b w:val="0"/>
                <w:bCs/>
                <w:color w:val="000000"/>
                <w:kern w:val="0"/>
                <w:sz w:val="18"/>
                <w:szCs w:val="18"/>
                <w:lang w:val="en-US" w:eastAsia="zh-CN"/>
              </w:rPr>
              <w:t>67.2356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6" w:hRule="atLeast"/>
        </w:trPr>
        <w:tc>
          <w:tcPr>
            <w:tcW w:w="8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ascii="宋体" w:hAnsi="宋体" w:eastAsia="宋体" w:cs="宋体"/>
                <w:b w:val="0"/>
                <w:bCs/>
                <w:color w:val="000000"/>
                <w:kern w:val="0"/>
                <w:sz w:val="18"/>
                <w:szCs w:val="18"/>
                <w:lang w:val="en-US" w:eastAsia="zh-CN"/>
              </w:rPr>
            </w:pPr>
            <w:r>
              <w:rPr>
                <w:rFonts w:hint="eastAsia" w:ascii="宋体" w:hAnsi="宋体" w:eastAsia="宋体" w:cs="宋体"/>
                <w:b w:val="0"/>
                <w:bCs/>
                <w:color w:val="000000"/>
                <w:kern w:val="0"/>
                <w:sz w:val="18"/>
                <w:szCs w:val="18"/>
                <w:lang w:val="en-US" w:eastAsia="zh-CN"/>
              </w:rPr>
              <w:t>绿色信贷金额变动折合减排情况</w:t>
            </w:r>
          </w:p>
        </w:tc>
        <w:tc>
          <w:tcPr>
            <w:tcW w:w="150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ascii="宋体" w:hAnsi="宋体" w:eastAsia="宋体" w:cs="宋体"/>
                <w:b w:val="0"/>
                <w:bCs/>
                <w:color w:val="000000"/>
                <w:kern w:val="0"/>
                <w:sz w:val="18"/>
                <w:szCs w:val="18"/>
                <w:lang w:val="en-US" w:eastAsia="zh-CN"/>
              </w:rPr>
            </w:pPr>
            <w:r>
              <w:rPr>
                <w:rFonts w:hint="eastAsia" w:ascii="宋体" w:hAnsi="宋体" w:eastAsia="宋体" w:cs="宋体"/>
                <w:b w:val="0"/>
                <w:bCs/>
                <w:color w:val="000000"/>
                <w:kern w:val="0"/>
                <w:sz w:val="18"/>
                <w:szCs w:val="18"/>
                <w:lang w:val="en-US" w:eastAsia="zh-CN"/>
              </w:rPr>
              <w:t>折合减排二氧化碳当量(tCO2e)</w:t>
            </w: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default" w:ascii="宋体" w:hAnsi="宋体" w:eastAsia="宋体" w:cs="宋体"/>
                <w:b w:val="0"/>
                <w:bCs/>
                <w:color w:val="000000"/>
                <w:kern w:val="0"/>
                <w:sz w:val="18"/>
                <w:szCs w:val="18"/>
                <w:lang w:val="en-US" w:eastAsia="zh-CN"/>
              </w:rPr>
            </w:pPr>
            <w:r>
              <w:rPr>
                <w:rFonts w:hint="eastAsia" w:ascii="宋体" w:hAnsi="宋体" w:eastAsia="宋体" w:cs="宋体"/>
                <w:b w:val="0"/>
                <w:bCs/>
                <w:color w:val="000000"/>
                <w:kern w:val="0"/>
                <w:sz w:val="18"/>
                <w:szCs w:val="18"/>
                <w:lang w:val="en-US" w:eastAsia="zh-CN"/>
              </w:rPr>
              <w:t>0</w:t>
            </w: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eastAsia" w:ascii="宋体" w:hAnsi="宋体" w:eastAsia="宋体" w:cs="宋体"/>
                <w:b w:val="0"/>
                <w:bCs/>
                <w:color w:val="000000"/>
                <w:kern w:val="0"/>
                <w:sz w:val="18"/>
                <w:szCs w:val="18"/>
                <w:lang w:val="en-US" w:eastAsia="zh-CN"/>
              </w:rPr>
            </w:pPr>
            <w:r>
              <w:rPr>
                <w:rFonts w:hint="eastAsia" w:ascii="宋体" w:hAnsi="宋体" w:eastAsia="宋体" w:cs="宋体"/>
                <w:b w:val="0"/>
                <w:bCs/>
                <w:color w:val="000000"/>
                <w:kern w:val="0"/>
                <w:sz w:val="18"/>
                <w:szCs w:val="18"/>
                <w:lang w:val="en-US" w:eastAsia="zh-CN"/>
              </w:rPr>
              <w:t>0</w:t>
            </w:r>
          </w:p>
        </w:tc>
        <w:tc>
          <w:tcPr>
            <w:tcW w:w="7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eastAsia" w:ascii="宋体" w:hAnsi="宋体" w:eastAsia="宋体" w:cs="宋体"/>
                <w:b w:val="0"/>
                <w:bCs/>
                <w:color w:val="000000"/>
                <w:kern w:val="0"/>
                <w:sz w:val="18"/>
                <w:szCs w:val="18"/>
                <w:lang w:val="en-US" w:eastAsia="zh-CN"/>
              </w:rPr>
            </w:pPr>
            <w:r>
              <w:rPr>
                <w:rFonts w:hint="eastAsia" w:ascii="宋体" w:hAnsi="宋体" w:eastAsia="宋体" w:cs="宋体"/>
                <w:b w:val="0"/>
                <w:bCs/>
                <w:color w:val="000000"/>
                <w:kern w:val="0"/>
                <w:sz w:val="18"/>
                <w:szCs w:val="18"/>
                <w:lang w:val="en-US" w:eastAsia="zh-CN"/>
              </w:rPr>
              <w:t>0</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eastAsia" w:ascii="宋体" w:hAnsi="宋体" w:eastAsia="宋体" w:cs="宋体"/>
                <w:b w:val="0"/>
                <w:bCs/>
                <w:color w:val="000000"/>
                <w:kern w:val="0"/>
                <w:sz w:val="18"/>
                <w:szCs w:val="18"/>
                <w:lang w:val="en-US" w:eastAsia="zh-CN"/>
              </w:rPr>
            </w:pPr>
            <w:r>
              <w:rPr>
                <w:rFonts w:hint="eastAsia" w:ascii="宋体" w:hAnsi="宋体" w:eastAsia="宋体" w:cs="宋体"/>
                <w:b w:val="0"/>
                <w:bCs/>
                <w:color w:val="000000"/>
                <w:kern w:val="0"/>
                <w:sz w:val="18"/>
                <w:szCs w:val="18"/>
                <w:lang w:val="en-US" w:eastAsia="zh-CN"/>
              </w:rPr>
              <w:t>101.52198</w:t>
            </w:r>
          </w:p>
        </w:tc>
        <w:tc>
          <w:tcPr>
            <w:tcW w:w="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eastAsia" w:ascii="宋体" w:hAnsi="宋体" w:eastAsia="宋体" w:cs="宋体"/>
                <w:b w:val="0"/>
                <w:bCs/>
                <w:color w:val="000000"/>
                <w:kern w:val="0"/>
                <w:sz w:val="18"/>
                <w:szCs w:val="18"/>
                <w:lang w:val="en-US" w:eastAsia="zh-CN"/>
              </w:rPr>
            </w:pPr>
            <w:r>
              <w:rPr>
                <w:rFonts w:hint="eastAsia" w:ascii="宋体" w:hAnsi="宋体" w:eastAsia="宋体" w:cs="宋体"/>
                <w:b w:val="0"/>
                <w:bCs/>
                <w:color w:val="000000"/>
                <w:kern w:val="0"/>
                <w:sz w:val="18"/>
                <w:szCs w:val="18"/>
                <w:lang w:val="en-US" w:eastAsia="zh-CN"/>
              </w:rPr>
              <w:t>0</w:t>
            </w: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eastAsia" w:ascii="宋体" w:hAnsi="宋体" w:eastAsia="宋体" w:cs="宋体"/>
                <w:b w:val="0"/>
                <w:bCs/>
                <w:color w:val="000000"/>
                <w:kern w:val="0"/>
                <w:sz w:val="18"/>
                <w:szCs w:val="18"/>
                <w:lang w:val="en-US" w:eastAsia="zh-CN"/>
              </w:rPr>
            </w:pPr>
            <w:r>
              <w:rPr>
                <w:rFonts w:hint="eastAsia" w:ascii="宋体" w:hAnsi="宋体" w:eastAsia="宋体" w:cs="宋体"/>
                <w:b w:val="0"/>
                <w:bCs/>
                <w:color w:val="000000"/>
                <w:kern w:val="0"/>
                <w:sz w:val="18"/>
                <w:szCs w:val="18"/>
                <w:lang w:val="en-US" w:eastAsia="zh-CN"/>
              </w:rPr>
              <w:t>0</w:t>
            </w:r>
          </w:p>
        </w:tc>
        <w:tc>
          <w:tcPr>
            <w:tcW w:w="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eastAsia" w:ascii="宋体" w:hAnsi="宋体" w:eastAsia="宋体" w:cs="宋体"/>
                <w:b w:val="0"/>
                <w:bCs/>
                <w:color w:val="000000"/>
                <w:kern w:val="0"/>
                <w:sz w:val="18"/>
                <w:szCs w:val="18"/>
                <w:lang w:val="en-US" w:eastAsia="zh-CN"/>
              </w:rPr>
            </w:pPr>
            <w:r>
              <w:rPr>
                <w:rFonts w:hint="eastAsia" w:ascii="宋体" w:hAnsi="宋体" w:eastAsia="宋体" w:cs="宋体"/>
                <w:b w:val="0"/>
                <w:bCs/>
                <w:color w:val="000000"/>
                <w:kern w:val="0"/>
                <w:sz w:val="18"/>
                <w:szCs w:val="18"/>
                <w:lang w:val="en-US" w:eastAsia="zh-CN"/>
              </w:rPr>
              <w:t>0</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eastAsia" w:ascii="宋体" w:hAnsi="宋体" w:eastAsia="宋体" w:cs="宋体"/>
                <w:b w:val="0"/>
                <w:bCs/>
                <w:color w:val="000000"/>
                <w:kern w:val="0"/>
                <w:sz w:val="18"/>
                <w:szCs w:val="18"/>
                <w:lang w:val="en-US" w:eastAsia="zh-CN"/>
              </w:rPr>
            </w:pPr>
            <w:r>
              <w:rPr>
                <w:rFonts w:hint="eastAsia" w:ascii="宋体" w:hAnsi="宋体" w:eastAsia="宋体" w:cs="宋体"/>
                <w:b w:val="0"/>
                <w:bCs/>
                <w:color w:val="000000"/>
                <w:kern w:val="0"/>
                <w:sz w:val="18"/>
                <w:szCs w:val="18"/>
                <w:lang w:val="en-US" w:eastAsia="zh-CN"/>
              </w:rPr>
              <w:t>0</w:t>
            </w:r>
          </w:p>
        </w:tc>
        <w:tc>
          <w:tcPr>
            <w:tcW w:w="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eastAsia" w:ascii="宋体" w:hAnsi="宋体" w:eastAsia="宋体" w:cs="宋体"/>
                <w:b w:val="0"/>
                <w:bCs/>
                <w:color w:val="000000"/>
                <w:kern w:val="0"/>
                <w:sz w:val="18"/>
                <w:szCs w:val="18"/>
                <w:lang w:val="en-US" w:eastAsia="zh-CN"/>
              </w:rPr>
            </w:pPr>
            <w:r>
              <w:rPr>
                <w:rFonts w:hint="eastAsia" w:ascii="宋体" w:hAnsi="宋体" w:eastAsia="宋体" w:cs="宋体"/>
                <w:b w:val="0"/>
                <w:bCs/>
                <w:color w:val="000000"/>
                <w:kern w:val="0"/>
                <w:sz w:val="18"/>
                <w:szCs w:val="18"/>
                <w:lang w:val="en-US" w:eastAsia="zh-CN"/>
              </w:rPr>
              <w:t>0</w:t>
            </w: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eastAsia" w:ascii="宋体" w:hAnsi="宋体" w:eastAsia="宋体" w:cs="宋体"/>
                <w:b w:val="0"/>
                <w:bCs/>
                <w:color w:val="000000"/>
                <w:kern w:val="0"/>
                <w:sz w:val="18"/>
                <w:szCs w:val="18"/>
                <w:lang w:val="en-US" w:eastAsia="zh-CN"/>
              </w:rPr>
            </w:pPr>
            <w:r>
              <w:rPr>
                <w:rFonts w:hint="eastAsia" w:ascii="宋体" w:hAnsi="宋体" w:eastAsia="宋体" w:cs="宋体"/>
                <w:b w:val="0"/>
                <w:bCs/>
                <w:color w:val="000000"/>
                <w:kern w:val="0"/>
                <w:sz w:val="18"/>
                <w:szCs w:val="18"/>
                <w:lang w:val="en-US" w:eastAsia="zh-CN"/>
              </w:rPr>
              <w:t>101.52198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6" w:hRule="atLeast"/>
        </w:trPr>
        <w:tc>
          <w:tcPr>
            <w:tcW w:w="8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ascii="宋体" w:hAnsi="宋体" w:eastAsia="宋体" w:cs="宋体"/>
                <w:b w:val="0"/>
                <w:bCs/>
                <w:color w:val="000000"/>
                <w:kern w:val="0"/>
                <w:sz w:val="18"/>
                <w:szCs w:val="18"/>
                <w:lang w:val="en-US" w:eastAsia="zh-CN"/>
              </w:rPr>
            </w:pPr>
            <w:r>
              <w:rPr>
                <w:rFonts w:hint="eastAsia" w:ascii="宋体" w:hAnsi="宋体" w:eastAsia="宋体" w:cs="宋体"/>
                <w:b w:val="0"/>
                <w:bCs/>
                <w:color w:val="000000"/>
                <w:kern w:val="0"/>
                <w:sz w:val="18"/>
                <w:szCs w:val="18"/>
                <w:lang w:val="en-US" w:eastAsia="zh-CN"/>
              </w:rPr>
              <w:t>绿色信贷金额变动折合减排情况</w:t>
            </w:r>
          </w:p>
        </w:tc>
        <w:tc>
          <w:tcPr>
            <w:tcW w:w="150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ascii="宋体" w:hAnsi="宋体" w:eastAsia="宋体" w:cs="宋体"/>
                <w:b w:val="0"/>
                <w:bCs/>
                <w:color w:val="000000"/>
                <w:kern w:val="0"/>
                <w:sz w:val="18"/>
                <w:szCs w:val="18"/>
                <w:lang w:val="en-US" w:eastAsia="zh-CN"/>
              </w:rPr>
            </w:pPr>
            <w:r>
              <w:rPr>
                <w:rFonts w:hint="eastAsia" w:ascii="宋体" w:hAnsi="宋体" w:eastAsia="宋体" w:cs="宋体"/>
                <w:b w:val="0"/>
                <w:bCs/>
                <w:color w:val="000000"/>
                <w:kern w:val="0"/>
                <w:sz w:val="18"/>
                <w:szCs w:val="18"/>
                <w:lang w:val="en-US" w:eastAsia="zh-CN"/>
              </w:rPr>
              <w:t>折合减排化学需氧量（吨）</w:t>
            </w: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default" w:ascii="宋体" w:hAnsi="宋体" w:eastAsia="宋体" w:cs="宋体"/>
                <w:b w:val="0"/>
                <w:bCs/>
                <w:color w:val="000000"/>
                <w:kern w:val="0"/>
                <w:sz w:val="18"/>
                <w:szCs w:val="18"/>
                <w:lang w:val="en-US" w:eastAsia="zh-CN"/>
              </w:rPr>
            </w:pPr>
            <w:r>
              <w:rPr>
                <w:rFonts w:hint="eastAsia" w:ascii="宋体" w:hAnsi="宋体" w:eastAsia="宋体" w:cs="宋体"/>
                <w:b w:val="0"/>
                <w:bCs/>
                <w:color w:val="000000"/>
                <w:kern w:val="0"/>
                <w:sz w:val="18"/>
                <w:szCs w:val="18"/>
                <w:lang w:val="en-US" w:eastAsia="zh-CN"/>
              </w:rPr>
              <w:t>0</w:t>
            </w: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eastAsia" w:ascii="宋体" w:hAnsi="宋体" w:eastAsia="宋体" w:cs="宋体"/>
                <w:b w:val="0"/>
                <w:bCs/>
                <w:color w:val="000000"/>
                <w:kern w:val="0"/>
                <w:sz w:val="18"/>
                <w:szCs w:val="18"/>
                <w:lang w:val="en-US" w:eastAsia="zh-CN"/>
              </w:rPr>
            </w:pPr>
            <w:r>
              <w:rPr>
                <w:rFonts w:hint="eastAsia" w:ascii="宋体" w:hAnsi="宋体" w:eastAsia="宋体" w:cs="宋体"/>
                <w:b w:val="0"/>
                <w:bCs/>
                <w:color w:val="000000"/>
                <w:kern w:val="0"/>
                <w:sz w:val="18"/>
                <w:szCs w:val="18"/>
                <w:lang w:val="en-US" w:eastAsia="zh-CN"/>
              </w:rPr>
              <w:t>0</w:t>
            </w:r>
          </w:p>
        </w:tc>
        <w:tc>
          <w:tcPr>
            <w:tcW w:w="7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eastAsia" w:ascii="宋体" w:hAnsi="宋体" w:eastAsia="宋体" w:cs="宋体"/>
                <w:b w:val="0"/>
                <w:bCs/>
                <w:color w:val="000000"/>
                <w:kern w:val="0"/>
                <w:sz w:val="18"/>
                <w:szCs w:val="18"/>
                <w:lang w:val="en-US" w:eastAsia="zh-CN"/>
              </w:rPr>
            </w:pPr>
            <w:r>
              <w:rPr>
                <w:rFonts w:hint="eastAsia" w:ascii="宋体" w:hAnsi="宋体" w:eastAsia="宋体" w:cs="宋体"/>
                <w:b w:val="0"/>
                <w:bCs/>
                <w:color w:val="000000"/>
                <w:kern w:val="0"/>
                <w:sz w:val="18"/>
                <w:szCs w:val="18"/>
                <w:lang w:val="en-US" w:eastAsia="zh-CN"/>
              </w:rPr>
              <w:t>0</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eastAsia" w:ascii="宋体" w:hAnsi="宋体" w:eastAsia="宋体" w:cs="宋体"/>
                <w:b w:val="0"/>
                <w:bCs/>
                <w:color w:val="000000"/>
                <w:kern w:val="0"/>
                <w:sz w:val="18"/>
                <w:szCs w:val="18"/>
                <w:lang w:val="en-US" w:eastAsia="zh-CN"/>
              </w:rPr>
            </w:pPr>
            <w:r>
              <w:rPr>
                <w:rFonts w:hint="eastAsia" w:ascii="宋体" w:hAnsi="宋体" w:eastAsia="宋体" w:cs="宋体"/>
                <w:b w:val="0"/>
                <w:bCs/>
                <w:color w:val="000000"/>
                <w:kern w:val="0"/>
                <w:sz w:val="18"/>
                <w:szCs w:val="18"/>
                <w:lang w:val="en-US" w:eastAsia="zh-CN"/>
              </w:rPr>
              <w:t>0</w:t>
            </w:r>
          </w:p>
        </w:tc>
        <w:tc>
          <w:tcPr>
            <w:tcW w:w="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eastAsia" w:ascii="宋体" w:hAnsi="宋体" w:eastAsia="宋体" w:cs="宋体"/>
                <w:b w:val="0"/>
                <w:bCs/>
                <w:color w:val="000000"/>
                <w:kern w:val="0"/>
                <w:sz w:val="18"/>
                <w:szCs w:val="18"/>
                <w:lang w:val="en-US" w:eastAsia="zh-CN"/>
              </w:rPr>
            </w:pPr>
            <w:r>
              <w:rPr>
                <w:rFonts w:hint="eastAsia" w:ascii="宋体" w:hAnsi="宋体" w:eastAsia="宋体" w:cs="宋体"/>
                <w:b w:val="0"/>
                <w:bCs/>
                <w:color w:val="000000"/>
                <w:kern w:val="0"/>
                <w:sz w:val="18"/>
                <w:szCs w:val="18"/>
                <w:lang w:val="en-US" w:eastAsia="zh-CN"/>
              </w:rPr>
              <w:t>0</w:t>
            </w: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eastAsia" w:ascii="宋体" w:hAnsi="宋体" w:eastAsia="宋体" w:cs="宋体"/>
                <w:b w:val="0"/>
                <w:bCs/>
                <w:color w:val="000000"/>
                <w:kern w:val="0"/>
                <w:sz w:val="18"/>
                <w:szCs w:val="18"/>
                <w:lang w:val="en-US" w:eastAsia="zh-CN"/>
              </w:rPr>
            </w:pPr>
            <w:r>
              <w:rPr>
                <w:rFonts w:hint="eastAsia" w:ascii="宋体" w:hAnsi="宋体" w:eastAsia="宋体" w:cs="宋体"/>
                <w:b w:val="0"/>
                <w:bCs/>
                <w:color w:val="000000"/>
                <w:kern w:val="0"/>
                <w:sz w:val="18"/>
                <w:szCs w:val="18"/>
                <w:lang w:val="en-US" w:eastAsia="zh-CN"/>
              </w:rPr>
              <w:t>0</w:t>
            </w:r>
          </w:p>
        </w:tc>
        <w:tc>
          <w:tcPr>
            <w:tcW w:w="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eastAsia" w:ascii="宋体" w:hAnsi="宋体" w:eastAsia="宋体" w:cs="宋体"/>
                <w:b w:val="0"/>
                <w:bCs/>
                <w:color w:val="000000"/>
                <w:kern w:val="0"/>
                <w:sz w:val="18"/>
                <w:szCs w:val="18"/>
                <w:lang w:val="en-US" w:eastAsia="zh-CN"/>
              </w:rPr>
            </w:pPr>
            <w:r>
              <w:rPr>
                <w:rFonts w:hint="eastAsia" w:ascii="宋体" w:hAnsi="宋体" w:eastAsia="宋体" w:cs="宋体"/>
                <w:b w:val="0"/>
                <w:bCs/>
                <w:color w:val="000000"/>
                <w:kern w:val="0"/>
                <w:sz w:val="18"/>
                <w:szCs w:val="18"/>
                <w:lang w:val="en-US" w:eastAsia="zh-CN"/>
              </w:rPr>
              <w:t>0</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eastAsia" w:ascii="宋体" w:hAnsi="宋体" w:eastAsia="宋体" w:cs="宋体"/>
                <w:b w:val="0"/>
                <w:bCs/>
                <w:color w:val="000000"/>
                <w:kern w:val="0"/>
                <w:sz w:val="18"/>
                <w:szCs w:val="18"/>
                <w:lang w:val="en-US" w:eastAsia="zh-CN"/>
              </w:rPr>
            </w:pPr>
            <w:r>
              <w:rPr>
                <w:rFonts w:hint="eastAsia" w:ascii="宋体" w:hAnsi="宋体" w:eastAsia="宋体" w:cs="宋体"/>
                <w:b w:val="0"/>
                <w:bCs/>
                <w:color w:val="000000"/>
                <w:kern w:val="0"/>
                <w:sz w:val="18"/>
                <w:szCs w:val="18"/>
                <w:lang w:val="en-US" w:eastAsia="zh-CN"/>
              </w:rPr>
              <w:t>0</w:t>
            </w:r>
          </w:p>
        </w:tc>
        <w:tc>
          <w:tcPr>
            <w:tcW w:w="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eastAsia" w:ascii="宋体" w:hAnsi="宋体" w:eastAsia="宋体" w:cs="宋体"/>
                <w:b w:val="0"/>
                <w:bCs/>
                <w:color w:val="000000"/>
                <w:kern w:val="0"/>
                <w:sz w:val="18"/>
                <w:szCs w:val="18"/>
                <w:lang w:val="en-US" w:eastAsia="zh-CN"/>
              </w:rPr>
            </w:pPr>
            <w:r>
              <w:rPr>
                <w:rFonts w:hint="eastAsia" w:ascii="宋体" w:hAnsi="宋体" w:eastAsia="宋体" w:cs="宋体"/>
                <w:b w:val="0"/>
                <w:bCs/>
                <w:color w:val="000000"/>
                <w:kern w:val="0"/>
                <w:sz w:val="18"/>
                <w:szCs w:val="18"/>
                <w:lang w:val="en-US" w:eastAsia="zh-CN"/>
              </w:rPr>
              <w:t>0</w:t>
            </w: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eastAsia" w:ascii="宋体" w:hAnsi="宋体" w:eastAsia="宋体" w:cs="宋体"/>
                <w:b w:val="0"/>
                <w:bCs/>
                <w:color w:val="000000"/>
                <w:kern w:val="0"/>
                <w:sz w:val="18"/>
                <w:szCs w:val="18"/>
                <w:lang w:val="en-US" w:eastAsia="zh-CN"/>
              </w:rPr>
            </w:pPr>
            <w:r>
              <w:rPr>
                <w:rFonts w:hint="eastAsia" w:ascii="宋体" w:hAnsi="宋体" w:eastAsia="宋体" w:cs="宋体"/>
                <w:b w:val="0"/>
                <w:bCs/>
                <w:color w:val="000000"/>
                <w:kern w:val="0"/>
                <w:sz w:val="18"/>
                <w:szCs w:val="18"/>
                <w:lang w:val="en-US" w:eastAsia="zh-CN"/>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6" w:hRule="atLeast"/>
        </w:trPr>
        <w:tc>
          <w:tcPr>
            <w:tcW w:w="8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ascii="宋体" w:hAnsi="宋体" w:eastAsia="宋体" w:cs="宋体"/>
                <w:b w:val="0"/>
                <w:bCs/>
                <w:color w:val="000000"/>
                <w:kern w:val="0"/>
                <w:sz w:val="18"/>
                <w:szCs w:val="18"/>
                <w:lang w:val="en-US" w:eastAsia="zh-CN"/>
              </w:rPr>
            </w:pPr>
            <w:r>
              <w:rPr>
                <w:rFonts w:hint="eastAsia" w:ascii="宋体" w:hAnsi="宋体" w:eastAsia="宋体" w:cs="宋体"/>
                <w:b w:val="0"/>
                <w:bCs/>
                <w:color w:val="000000"/>
                <w:kern w:val="0"/>
                <w:sz w:val="18"/>
                <w:szCs w:val="18"/>
                <w:lang w:val="en-US" w:eastAsia="zh-CN"/>
              </w:rPr>
              <w:t>绿色信贷金额变动折合减排情况</w:t>
            </w:r>
          </w:p>
        </w:tc>
        <w:tc>
          <w:tcPr>
            <w:tcW w:w="150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ascii="宋体" w:hAnsi="宋体" w:eastAsia="宋体" w:cs="宋体"/>
                <w:b w:val="0"/>
                <w:bCs/>
                <w:color w:val="000000"/>
                <w:kern w:val="0"/>
                <w:sz w:val="18"/>
                <w:szCs w:val="18"/>
                <w:lang w:val="en-US" w:eastAsia="zh-CN"/>
              </w:rPr>
            </w:pPr>
            <w:r>
              <w:rPr>
                <w:rFonts w:hint="eastAsia" w:ascii="宋体" w:hAnsi="宋体" w:eastAsia="宋体" w:cs="宋体"/>
                <w:b w:val="0"/>
                <w:bCs/>
                <w:color w:val="000000"/>
                <w:kern w:val="0"/>
                <w:sz w:val="18"/>
                <w:szCs w:val="18"/>
                <w:lang w:val="en-US" w:eastAsia="zh-CN"/>
              </w:rPr>
              <w:t>折合减排氨氮（吨）</w:t>
            </w: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default" w:ascii="宋体" w:hAnsi="宋体" w:eastAsia="宋体" w:cs="宋体"/>
                <w:b w:val="0"/>
                <w:bCs/>
                <w:color w:val="000000"/>
                <w:kern w:val="0"/>
                <w:sz w:val="18"/>
                <w:szCs w:val="18"/>
                <w:lang w:val="en-US" w:eastAsia="zh-CN"/>
              </w:rPr>
            </w:pPr>
            <w:r>
              <w:rPr>
                <w:rFonts w:hint="eastAsia" w:ascii="宋体" w:hAnsi="宋体" w:eastAsia="宋体" w:cs="宋体"/>
                <w:b w:val="0"/>
                <w:bCs/>
                <w:color w:val="000000"/>
                <w:kern w:val="0"/>
                <w:sz w:val="18"/>
                <w:szCs w:val="18"/>
                <w:lang w:val="en-US" w:eastAsia="zh-CN"/>
              </w:rPr>
              <w:t>0</w:t>
            </w: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eastAsia" w:ascii="宋体" w:hAnsi="宋体" w:eastAsia="宋体" w:cs="宋体"/>
                <w:b w:val="0"/>
                <w:bCs/>
                <w:color w:val="000000"/>
                <w:kern w:val="0"/>
                <w:sz w:val="18"/>
                <w:szCs w:val="18"/>
                <w:lang w:val="en-US" w:eastAsia="zh-CN"/>
              </w:rPr>
            </w:pPr>
            <w:r>
              <w:rPr>
                <w:rFonts w:hint="eastAsia" w:ascii="宋体" w:hAnsi="宋体" w:eastAsia="宋体" w:cs="宋体"/>
                <w:b w:val="0"/>
                <w:bCs/>
                <w:color w:val="000000"/>
                <w:kern w:val="0"/>
                <w:sz w:val="18"/>
                <w:szCs w:val="18"/>
                <w:lang w:val="en-US" w:eastAsia="zh-CN"/>
              </w:rPr>
              <w:t>0</w:t>
            </w:r>
          </w:p>
        </w:tc>
        <w:tc>
          <w:tcPr>
            <w:tcW w:w="7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eastAsia" w:ascii="宋体" w:hAnsi="宋体" w:eastAsia="宋体" w:cs="宋体"/>
                <w:b w:val="0"/>
                <w:bCs/>
                <w:color w:val="000000"/>
                <w:kern w:val="0"/>
                <w:sz w:val="18"/>
                <w:szCs w:val="18"/>
                <w:lang w:val="en-US" w:eastAsia="zh-CN"/>
              </w:rPr>
            </w:pPr>
            <w:r>
              <w:rPr>
                <w:rFonts w:hint="eastAsia" w:ascii="宋体" w:hAnsi="宋体" w:eastAsia="宋体" w:cs="宋体"/>
                <w:b w:val="0"/>
                <w:bCs/>
                <w:color w:val="000000"/>
                <w:kern w:val="0"/>
                <w:sz w:val="18"/>
                <w:szCs w:val="18"/>
                <w:lang w:val="en-US" w:eastAsia="zh-CN"/>
              </w:rPr>
              <w:t>0</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eastAsia" w:ascii="宋体" w:hAnsi="宋体" w:eastAsia="宋体" w:cs="宋体"/>
                <w:b w:val="0"/>
                <w:bCs/>
                <w:color w:val="000000"/>
                <w:kern w:val="0"/>
                <w:sz w:val="18"/>
                <w:szCs w:val="18"/>
                <w:lang w:val="en-US" w:eastAsia="zh-CN"/>
              </w:rPr>
            </w:pPr>
            <w:r>
              <w:rPr>
                <w:rFonts w:hint="eastAsia" w:ascii="宋体" w:hAnsi="宋体" w:eastAsia="宋体" w:cs="宋体"/>
                <w:b w:val="0"/>
                <w:bCs/>
                <w:color w:val="000000"/>
                <w:kern w:val="0"/>
                <w:sz w:val="18"/>
                <w:szCs w:val="18"/>
                <w:lang w:val="en-US" w:eastAsia="zh-CN"/>
              </w:rPr>
              <w:t>0</w:t>
            </w:r>
          </w:p>
        </w:tc>
        <w:tc>
          <w:tcPr>
            <w:tcW w:w="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eastAsia" w:ascii="宋体" w:hAnsi="宋体" w:eastAsia="宋体" w:cs="宋体"/>
                <w:b w:val="0"/>
                <w:bCs/>
                <w:color w:val="000000"/>
                <w:kern w:val="0"/>
                <w:sz w:val="18"/>
                <w:szCs w:val="18"/>
                <w:lang w:val="en-US" w:eastAsia="zh-CN"/>
              </w:rPr>
            </w:pPr>
            <w:r>
              <w:rPr>
                <w:rFonts w:hint="eastAsia" w:ascii="宋体" w:hAnsi="宋体" w:eastAsia="宋体" w:cs="宋体"/>
                <w:b w:val="0"/>
                <w:bCs/>
                <w:color w:val="000000"/>
                <w:kern w:val="0"/>
                <w:sz w:val="18"/>
                <w:szCs w:val="18"/>
                <w:lang w:val="en-US" w:eastAsia="zh-CN"/>
              </w:rPr>
              <w:t>0</w:t>
            </w: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eastAsia" w:ascii="宋体" w:hAnsi="宋体" w:eastAsia="宋体" w:cs="宋体"/>
                <w:b w:val="0"/>
                <w:bCs/>
                <w:color w:val="000000"/>
                <w:kern w:val="0"/>
                <w:sz w:val="18"/>
                <w:szCs w:val="18"/>
                <w:lang w:val="en-US" w:eastAsia="zh-CN"/>
              </w:rPr>
            </w:pPr>
            <w:r>
              <w:rPr>
                <w:rFonts w:hint="eastAsia" w:ascii="宋体" w:hAnsi="宋体" w:eastAsia="宋体" w:cs="宋体"/>
                <w:b w:val="0"/>
                <w:bCs/>
                <w:color w:val="000000"/>
                <w:kern w:val="0"/>
                <w:sz w:val="18"/>
                <w:szCs w:val="18"/>
                <w:lang w:val="en-US" w:eastAsia="zh-CN"/>
              </w:rPr>
              <w:t>0</w:t>
            </w:r>
          </w:p>
        </w:tc>
        <w:tc>
          <w:tcPr>
            <w:tcW w:w="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eastAsia" w:ascii="宋体" w:hAnsi="宋体" w:eastAsia="宋体" w:cs="宋体"/>
                <w:b w:val="0"/>
                <w:bCs/>
                <w:color w:val="000000"/>
                <w:kern w:val="0"/>
                <w:sz w:val="18"/>
                <w:szCs w:val="18"/>
                <w:lang w:val="en-US" w:eastAsia="zh-CN"/>
              </w:rPr>
            </w:pPr>
            <w:r>
              <w:rPr>
                <w:rFonts w:hint="eastAsia" w:ascii="宋体" w:hAnsi="宋体" w:eastAsia="宋体" w:cs="宋体"/>
                <w:b w:val="0"/>
                <w:bCs/>
                <w:color w:val="000000"/>
                <w:kern w:val="0"/>
                <w:sz w:val="18"/>
                <w:szCs w:val="18"/>
                <w:lang w:val="en-US" w:eastAsia="zh-CN"/>
              </w:rPr>
              <w:t>0</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eastAsia" w:ascii="宋体" w:hAnsi="宋体" w:eastAsia="宋体" w:cs="宋体"/>
                <w:b w:val="0"/>
                <w:bCs/>
                <w:color w:val="000000"/>
                <w:kern w:val="0"/>
                <w:sz w:val="18"/>
                <w:szCs w:val="18"/>
                <w:lang w:val="en-US" w:eastAsia="zh-CN"/>
              </w:rPr>
            </w:pPr>
            <w:r>
              <w:rPr>
                <w:rFonts w:hint="eastAsia" w:ascii="宋体" w:hAnsi="宋体" w:eastAsia="宋体" w:cs="宋体"/>
                <w:b w:val="0"/>
                <w:bCs/>
                <w:color w:val="000000"/>
                <w:kern w:val="0"/>
                <w:sz w:val="18"/>
                <w:szCs w:val="18"/>
                <w:lang w:val="en-US" w:eastAsia="zh-CN"/>
              </w:rPr>
              <w:t>0</w:t>
            </w:r>
          </w:p>
        </w:tc>
        <w:tc>
          <w:tcPr>
            <w:tcW w:w="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eastAsia" w:ascii="宋体" w:hAnsi="宋体" w:eastAsia="宋体" w:cs="宋体"/>
                <w:b w:val="0"/>
                <w:bCs/>
                <w:color w:val="000000"/>
                <w:kern w:val="0"/>
                <w:sz w:val="18"/>
                <w:szCs w:val="18"/>
                <w:lang w:val="en-US" w:eastAsia="zh-CN"/>
              </w:rPr>
            </w:pPr>
            <w:r>
              <w:rPr>
                <w:rFonts w:hint="eastAsia" w:ascii="宋体" w:hAnsi="宋体" w:eastAsia="宋体" w:cs="宋体"/>
                <w:b w:val="0"/>
                <w:bCs/>
                <w:color w:val="000000"/>
                <w:kern w:val="0"/>
                <w:sz w:val="18"/>
                <w:szCs w:val="18"/>
                <w:lang w:val="en-US" w:eastAsia="zh-CN"/>
              </w:rPr>
              <w:t>0</w:t>
            </w: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eastAsia" w:ascii="宋体" w:hAnsi="宋体" w:eastAsia="宋体" w:cs="宋体"/>
                <w:b w:val="0"/>
                <w:bCs/>
                <w:color w:val="000000"/>
                <w:kern w:val="0"/>
                <w:sz w:val="18"/>
                <w:szCs w:val="18"/>
                <w:lang w:val="en-US" w:eastAsia="zh-CN"/>
              </w:rPr>
            </w:pPr>
            <w:r>
              <w:rPr>
                <w:rFonts w:hint="eastAsia" w:ascii="宋体" w:hAnsi="宋体" w:eastAsia="宋体" w:cs="宋体"/>
                <w:b w:val="0"/>
                <w:bCs/>
                <w:color w:val="000000"/>
                <w:kern w:val="0"/>
                <w:sz w:val="18"/>
                <w:szCs w:val="18"/>
                <w:lang w:val="en-US" w:eastAsia="zh-CN"/>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6" w:hRule="atLeast"/>
        </w:trPr>
        <w:tc>
          <w:tcPr>
            <w:tcW w:w="8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ascii="宋体" w:hAnsi="宋体" w:eastAsia="宋体" w:cs="宋体"/>
                <w:b w:val="0"/>
                <w:bCs/>
                <w:color w:val="000000"/>
                <w:kern w:val="0"/>
                <w:sz w:val="18"/>
                <w:szCs w:val="18"/>
                <w:lang w:val="en-US" w:eastAsia="zh-CN"/>
              </w:rPr>
            </w:pPr>
            <w:r>
              <w:rPr>
                <w:rFonts w:hint="eastAsia" w:ascii="宋体" w:hAnsi="宋体" w:eastAsia="宋体" w:cs="宋体"/>
                <w:b w:val="0"/>
                <w:bCs/>
                <w:color w:val="000000"/>
                <w:kern w:val="0"/>
                <w:sz w:val="18"/>
                <w:szCs w:val="18"/>
                <w:lang w:val="en-US" w:eastAsia="zh-CN"/>
              </w:rPr>
              <w:t>绿色信贷金额变动折合减排情况</w:t>
            </w:r>
          </w:p>
        </w:tc>
        <w:tc>
          <w:tcPr>
            <w:tcW w:w="150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ascii="宋体" w:hAnsi="宋体" w:eastAsia="宋体" w:cs="宋体"/>
                <w:b w:val="0"/>
                <w:bCs/>
                <w:color w:val="000000"/>
                <w:kern w:val="0"/>
                <w:sz w:val="18"/>
                <w:szCs w:val="18"/>
                <w:lang w:val="en-US" w:eastAsia="zh-CN"/>
              </w:rPr>
            </w:pPr>
            <w:r>
              <w:rPr>
                <w:rFonts w:hint="eastAsia" w:ascii="宋体" w:hAnsi="宋体" w:eastAsia="宋体" w:cs="宋体"/>
                <w:b w:val="0"/>
                <w:bCs/>
                <w:color w:val="000000"/>
                <w:kern w:val="0"/>
                <w:sz w:val="18"/>
                <w:szCs w:val="18"/>
                <w:lang w:val="en-US" w:eastAsia="zh-CN"/>
              </w:rPr>
              <w:t>折合减排二氧化硫（吨）</w:t>
            </w: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default" w:ascii="宋体" w:hAnsi="宋体" w:eastAsia="宋体" w:cs="宋体"/>
                <w:b w:val="0"/>
                <w:bCs/>
                <w:color w:val="000000"/>
                <w:kern w:val="0"/>
                <w:sz w:val="18"/>
                <w:szCs w:val="18"/>
                <w:lang w:val="en-US" w:eastAsia="zh-CN"/>
              </w:rPr>
            </w:pPr>
            <w:r>
              <w:rPr>
                <w:rFonts w:hint="eastAsia" w:ascii="宋体" w:hAnsi="宋体" w:eastAsia="宋体" w:cs="宋体"/>
                <w:b w:val="0"/>
                <w:bCs/>
                <w:color w:val="000000"/>
                <w:kern w:val="0"/>
                <w:sz w:val="18"/>
                <w:szCs w:val="18"/>
                <w:lang w:val="en-US" w:eastAsia="zh-CN"/>
              </w:rPr>
              <w:t>0</w:t>
            </w: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eastAsia" w:ascii="宋体" w:hAnsi="宋体" w:eastAsia="宋体" w:cs="宋体"/>
                <w:b w:val="0"/>
                <w:bCs/>
                <w:color w:val="000000"/>
                <w:kern w:val="0"/>
                <w:sz w:val="18"/>
                <w:szCs w:val="18"/>
                <w:lang w:val="en-US" w:eastAsia="zh-CN"/>
              </w:rPr>
            </w:pPr>
            <w:r>
              <w:rPr>
                <w:rFonts w:hint="eastAsia" w:ascii="宋体" w:hAnsi="宋体" w:eastAsia="宋体" w:cs="宋体"/>
                <w:b w:val="0"/>
                <w:bCs/>
                <w:color w:val="000000"/>
                <w:kern w:val="0"/>
                <w:sz w:val="18"/>
                <w:szCs w:val="18"/>
                <w:lang w:val="en-US" w:eastAsia="zh-CN"/>
              </w:rPr>
              <w:t>0</w:t>
            </w:r>
          </w:p>
        </w:tc>
        <w:tc>
          <w:tcPr>
            <w:tcW w:w="7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eastAsia" w:ascii="宋体" w:hAnsi="宋体" w:eastAsia="宋体" w:cs="宋体"/>
                <w:b w:val="0"/>
                <w:bCs/>
                <w:color w:val="000000"/>
                <w:kern w:val="0"/>
                <w:sz w:val="18"/>
                <w:szCs w:val="18"/>
                <w:lang w:val="en-US" w:eastAsia="zh-CN"/>
              </w:rPr>
            </w:pPr>
            <w:r>
              <w:rPr>
                <w:rFonts w:hint="eastAsia" w:ascii="宋体" w:hAnsi="宋体" w:eastAsia="宋体" w:cs="宋体"/>
                <w:b w:val="0"/>
                <w:bCs/>
                <w:color w:val="000000"/>
                <w:kern w:val="0"/>
                <w:sz w:val="18"/>
                <w:szCs w:val="18"/>
                <w:lang w:val="en-US" w:eastAsia="zh-CN"/>
              </w:rPr>
              <w:t>0</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eastAsia" w:ascii="宋体" w:hAnsi="宋体" w:eastAsia="宋体" w:cs="宋体"/>
                <w:b w:val="0"/>
                <w:bCs/>
                <w:color w:val="000000"/>
                <w:kern w:val="0"/>
                <w:sz w:val="18"/>
                <w:szCs w:val="18"/>
                <w:lang w:val="en-US" w:eastAsia="zh-CN"/>
              </w:rPr>
            </w:pPr>
            <w:r>
              <w:rPr>
                <w:rFonts w:hint="eastAsia" w:ascii="宋体" w:hAnsi="宋体" w:eastAsia="宋体" w:cs="宋体"/>
                <w:b w:val="0"/>
                <w:bCs/>
                <w:color w:val="000000"/>
                <w:kern w:val="0"/>
                <w:sz w:val="18"/>
                <w:szCs w:val="18"/>
                <w:lang w:val="en-US" w:eastAsia="zh-CN"/>
              </w:rPr>
              <w:t>0</w:t>
            </w:r>
          </w:p>
        </w:tc>
        <w:tc>
          <w:tcPr>
            <w:tcW w:w="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eastAsia" w:ascii="宋体" w:hAnsi="宋体" w:eastAsia="宋体" w:cs="宋体"/>
                <w:b w:val="0"/>
                <w:bCs/>
                <w:color w:val="000000"/>
                <w:kern w:val="0"/>
                <w:sz w:val="18"/>
                <w:szCs w:val="18"/>
                <w:lang w:val="en-US" w:eastAsia="zh-CN"/>
              </w:rPr>
            </w:pPr>
            <w:r>
              <w:rPr>
                <w:rFonts w:hint="eastAsia" w:ascii="宋体" w:hAnsi="宋体" w:eastAsia="宋体" w:cs="宋体"/>
                <w:b w:val="0"/>
                <w:bCs/>
                <w:color w:val="000000"/>
                <w:kern w:val="0"/>
                <w:sz w:val="18"/>
                <w:szCs w:val="18"/>
                <w:lang w:val="en-US" w:eastAsia="zh-CN"/>
              </w:rPr>
              <w:t>0</w:t>
            </w: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eastAsia" w:ascii="宋体" w:hAnsi="宋体" w:eastAsia="宋体" w:cs="宋体"/>
                <w:b w:val="0"/>
                <w:bCs/>
                <w:color w:val="000000"/>
                <w:kern w:val="0"/>
                <w:sz w:val="18"/>
                <w:szCs w:val="18"/>
                <w:lang w:val="en-US" w:eastAsia="zh-CN"/>
              </w:rPr>
            </w:pPr>
            <w:r>
              <w:rPr>
                <w:rFonts w:hint="eastAsia" w:ascii="宋体" w:hAnsi="宋体" w:eastAsia="宋体" w:cs="宋体"/>
                <w:b w:val="0"/>
                <w:bCs/>
                <w:color w:val="000000"/>
                <w:kern w:val="0"/>
                <w:sz w:val="18"/>
                <w:szCs w:val="18"/>
                <w:lang w:val="en-US" w:eastAsia="zh-CN"/>
              </w:rPr>
              <w:t>0</w:t>
            </w:r>
          </w:p>
        </w:tc>
        <w:tc>
          <w:tcPr>
            <w:tcW w:w="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eastAsia" w:ascii="宋体" w:hAnsi="宋体" w:eastAsia="宋体" w:cs="宋体"/>
                <w:b w:val="0"/>
                <w:bCs/>
                <w:color w:val="000000"/>
                <w:kern w:val="0"/>
                <w:sz w:val="18"/>
                <w:szCs w:val="18"/>
                <w:lang w:val="en-US" w:eastAsia="zh-CN"/>
              </w:rPr>
            </w:pPr>
            <w:r>
              <w:rPr>
                <w:rFonts w:hint="eastAsia" w:ascii="宋体" w:hAnsi="宋体" w:eastAsia="宋体" w:cs="宋体"/>
                <w:b w:val="0"/>
                <w:bCs/>
                <w:color w:val="000000"/>
                <w:kern w:val="0"/>
                <w:sz w:val="18"/>
                <w:szCs w:val="18"/>
                <w:lang w:val="en-US" w:eastAsia="zh-CN"/>
              </w:rPr>
              <w:t>0</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eastAsia" w:ascii="宋体" w:hAnsi="宋体" w:eastAsia="宋体" w:cs="宋体"/>
                <w:b w:val="0"/>
                <w:bCs/>
                <w:color w:val="000000"/>
                <w:kern w:val="0"/>
                <w:sz w:val="18"/>
                <w:szCs w:val="18"/>
                <w:lang w:val="en-US" w:eastAsia="zh-CN"/>
              </w:rPr>
            </w:pPr>
            <w:r>
              <w:rPr>
                <w:rFonts w:hint="eastAsia" w:ascii="宋体" w:hAnsi="宋体" w:eastAsia="宋体" w:cs="宋体"/>
                <w:b w:val="0"/>
                <w:bCs/>
                <w:color w:val="000000"/>
                <w:kern w:val="0"/>
                <w:sz w:val="18"/>
                <w:szCs w:val="18"/>
                <w:lang w:val="en-US" w:eastAsia="zh-CN"/>
              </w:rPr>
              <w:t>0</w:t>
            </w:r>
          </w:p>
        </w:tc>
        <w:tc>
          <w:tcPr>
            <w:tcW w:w="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eastAsia" w:ascii="宋体" w:hAnsi="宋体" w:eastAsia="宋体" w:cs="宋体"/>
                <w:b w:val="0"/>
                <w:bCs/>
                <w:color w:val="000000"/>
                <w:kern w:val="0"/>
                <w:sz w:val="18"/>
                <w:szCs w:val="18"/>
                <w:lang w:val="en-US" w:eastAsia="zh-CN"/>
              </w:rPr>
            </w:pPr>
            <w:r>
              <w:rPr>
                <w:rFonts w:hint="eastAsia" w:ascii="宋体" w:hAnsi="宋体" w:eastAsia="宋体" w:cs="宋体"/>
                <w:b w:val="0"/>
                <w:bCs/>
                <w:color w:val="000000"/>
                <w:kern w:val="0"/>
                <w:sz w:val="18"/>
                <w:szCs w:val="18"/>
                <w:lang w:val="en-US" w:eastAsia="zh-CN"/>
              </w:rPr>
              <w:t>0</w:t>
            </w: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eastAsia" w:ascii="宋体" w:hAnsi="宋体" w:eastAsia="宋体" w:cs="宋体"/>
                <w:b w:val="0"/>
                <w:bCs/>
                <w:color w:val="000000"/>
                <w:kern w:val="0"/>
                <w:sz w:val="18"/>
                <w:szCs w:val="18"/>
                <w:lang w:val="en-US" w:eastAsia="zh-CN"/>
              </w:rPr>
            </w:pPr>
            <w:r>
              <w:rPr>
                <w:rFonts w:hint="eastAsia" w:ascii="宋体" w:hAnsi="宋体" w:eastAsia="宋体" w:cs="宋体"/>
                <w:b w:val="0"/>
                <w:bCs/>
                <w:color w:val="000000"/>
                <w:kern w:val="0"/>
                <w:sz w:val="18"/>
                <w:szCs w:val="18"/>
                <w:lang w:val="en-US" w:eastAsia="zh-CN"/>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6" w:hRule="atLeast"/>
        </w:trPr>
        <w:tc>
          <w:tcPr>
            <w:tcW w:w="8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ascii="宋体" w:hAnsi="宋体" w:eastAsia="宋体" w:cs="宋体"/>
                <w:b w:val="0"/>
                <w:bCs/>
                <w:color w:val="000000"/>
                <w:kern w:val="0"/>
                <w:sz w:val="18"/>
                <w:szCs w:val="18"/>
                <w:lang w:val="en-US" w:eastAsia="zh-CN"/>
              </w:rPr>
            </w:pPr>
            <w:r>
              <w:rPr>
                <w:rFonts w:hint="eastAsia" w:ascii="宋体" w:hAnsi="宋体" w:eastAsia="宋体" w:cs="宋体"/>
                <w:b w:val="0"/>
                <w:bCs/>
                <w:color w:val="000000"/>
                <w:kern w:val="0"/>
                <w:sz w:val="18"/>
                <w:szCs w:val="18"/>
                <w:lang w:val="en-US" w:eastAsia="zh-CN"/>
              </w:rPr>
              <w:t>绿色信贷金额变动折合减排情况</w:t>
            </w:r>
          </w:p>
        </w:tc>
        <w:tc>
          <w:tcPr>
            <w:tcW w:w="150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ascii="宋体" w:hAnsi="宋体" w:eastAsia="宋体" w:cs="宋体"/>
                <w:b w:val="0"/>
                <w:bCs/>
                <w:color w:val="000000"/>
                <w:kern w:val="0"/>
                <w:sz w:val="18"/>
                <w:szCs w:val="18"/>
                <w:lang w:val="en-US" w:eastAsia="zh-CN"/>
              </w:rPr>
            </w:pPr>
            <w:r>
              <w:rPr>
                <w:rFonts w:hint="eastAsia" w:ascii="宋体" w:hAnsi="宋体" w:eastAsia="宋体" w:cs="宋体"/>
                <w:b w:val="0"/>
                <w:bCs/>
                <w:color w:val="000000"/>
                <w:kern w:val="0"/>
                <w:sz w:val="18"/>
                <w:szCs w:val="18"/>
                <w:lang w:val="en-US" w:eastAsia="zh-CN"/>
              </w:rPr>
              <w:t>折合减排氮氧化物（吨）</w:t>
            </w: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default" w:ascii="宋体" w:hAnsi="宋体" w:eastAsia="宋体" w:cs="宋体"/>
                <w:b w:val="0"/>
                <w:bCs/>
                <w:color w:val="000000"/>
                <w:kern w:val="0"/>
                <w:sz w:val="18"/>
                <w:szCs w:val="18"/>
                <w:lang w:val="en-US" w:eastAsia="zh-CN"/>
              </w:rPr>
            </w:pPr>
            <w:r>
              <w:rPr>
                <w:rFonts w:hint="eastAsia" w:ascii="宋体" w:hAnsi="宋体" w:eastAsia="宋体" w:cs="宋体"/>
                <w:b w:val="0"/>
                <w:bCs/>
                <w:color w:val="000000"/>
                <w:kern w:val="0"/>
                <w:sz w:val="18"/>
                <w:szCs w:val="18"/>
                <w:lang w:val="en-US" w:eastAsia="zh-CN"/>
              </w:rPr>
              <w:t>0</w:t>
            </w: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eastAsia" w:ascii="宋体" w:hAnsi="宋体" w:eastAsia="宋体" w:cs="宋体"/>
                <w:b w:val="0"/>
                <w:bCs/>
                <w:color w:val="000000"/>
                <w:kern w:val="0"/>
                <w:sz w:val="18"/>
                <w:szCs w:val="18"/>
                <w:lang w:val="en-US" w:eastAsia="zh-CN"/>
              </w:rPr>
            </w:pPr>
            <w:r>
              <w:rPr>
                <w:rFonts w:hint="eastAsia" w:ascii="宋体" w:hAnsi="宋体" w:eastAsia="宋体" w:cs="宋体"/>
                <w:b w:val="0"/>
                <w:bCs/>
                <w:color w:val="000000"/>
                <w:kern w:val="0"/>
                <w:sz w:val="18"/>
                <w:szCs w:val="18"/>
                <w:lang w:val="en-US" w:eastAsia="zh-CN"/>
              </w:rPr>
              <w:t>0</w:t>
            </w:r>
          </w:p>
        </w:tc>
        <w:tc>
          <w:tcPr>
            <w:tcW w:w="7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eastAsia" w:ascii="宋体" w:hAnsi="宋体" w:eastAsia="宋体" w:cs="宋体"/>
                <w:b w:val="0"/>
                <w:bCs/>
                <w:color w:val="000000"/>
                <w:kern w:val="0"/>
                <w:sz w:val="18"/>
                <w:szCs w:val="18"/>
                <w:lang w:val="en-US" w:eastAsia="zh-CN"/>
              </w:rPr>
            </w:pPr>
            <w:r>
              <w:rPr>
                <w:rFonts w:hint="eastAsia" w:ascii="宋体" w:hAnsi="宋体" w:eastAsia="宋体" w:cs="宋体"/>
                <w:b w:val="0"/>
                <w:bCs/>
                <w:color w:val="000000"/>
                <w:kern w:val="0"/>
                <w:sz w:val="18"/>
                <w:szCs w:val="18"/>
                <w:lang w:val="en-US" w:eastAsia="zh-CN"/>
              </w:rPr>
              <w:t>0</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eastAsia" w:ascii="宋体" w:hAnsi="宋体" w:eastAsia="宋体" w:cs="宋体"/>
                <w:b w:val="0"/>
                <w:bCs/>
                <w:color w:val="000000"/>
                <w:kern w:val="0"/>
                <w:sz w:val="18"/>
                <w:szCs w:val="18"/>
                <w:lang w:val="en-US" w:eastAsia="zh-CN"/>
              </w:rPr>
            </w:pPr>
            <w:r>
              <w:rPr>
                <w:rFonts w:hint="eastAsia" w:ascii="宋体" w:hAnsi="宋体" w:eastAsia="宋体" w:cs="宋体"/>
                <w:b w:val="0"/>
                <w:bCs/>
                <w:color w:val="000000"/>
                <w:kern w:val="0"/>
                <w:sz w:val="18"/>
                <w:szCs w:val="18"/>
                <w:lang w:val="en-US" w:eastAsia="zh-CN"/>
              </w:rPr>
              <w:t>0</w:t>
            </w:r>
          </w:p>
        </w:tc>
        <w:tc>
          <w:tcPr>
            <w:tcW w:w="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eastAsia" w:ascii="宋体" w:hAnsi="宋体" w:eastAsia="宋体" w:cs="宋体"/>
                <w:b w:val="0"/>
                <w:bCs/>
                <w:color w:val="000000"/>
                <w:kern w:val="0"/>
                <w:sz w:val="18"/>
                <w:szCs w:val="18"/>
                <w:lang w:val="en-US" w:eastAsia="zh-CN"/>
              </w:rPr>
            </w:pPr>
            <w:r>
              <w:rPr>
                <w:rFonts w:hint="eastAsia" w:ascii="宋体" w:hAnsi="宋体" w:eastAsia="宋体" w:cs="宋体"/>
                <w:b w:val="0"/>
                <w:bCs/>
                <w:color w:val="000000"/>
                <w:kern w:val="0"/>
                <w:sz w:val="18"/>
                <w:szCs w:val="18"/>
                <w:lang w:val="en-US" w:eastAsia="zh-CN"/>
              </w:rPr>
              <w:t>0</w:t>
            </w: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eastAsia" w:ascii="宋体" w:hAnsi="宋体" w:eastAsia="宋体" w:cs="宋体"/>
                <w:b w:val="0"/>
                <w:bCs/>
                <w:color w:val="000000"/>
                <w:kern w:val="0"/>
                <w:sz w:val="18"/>
                <w:szCs w:val="18"/>
                <w:lang w:val="en-US" w:eastAsia="zh-CN"/>
              </w:rPr>
            </w:pPr>
            <w:r>
              <w:rPr>
                <w:rFonts w:hint="eastAsia" w:ascii="宋体" w:hAnsi="宋体" w:eastAsia="宋体" w:cs="宋体"/>
                <w:b w:val="0"/>
                <w:bCs/>
                <w:color w:val="000000"/>
                <w:kern w:val="0"/>
                <w:sz w:val="18"/>
                <w:szCs w:val="18"/>
                <w:lang w:val="en-US" w:eastAsia="zh-CN"/>
              </w:rPr>
              <w:t>0</w:t>
            </w:r>
          </w:p>
        </w:tc>
        <w:tc>
          <w:tcPr>
            <w:tcW w:w="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eastAsia" w:ascii="宋体" w:hAnsi="宋体" w:eastAsia="宋体" w:cs="宋体"/>
                <w:b w:val="0"/>
                <w:bCs/>
                <w:color w:val="000000"/>
                <w:kern w:val="0"/>
                <w:sz w:val="18"/>
                <w:szCs w:val="18"/>
                <w:lang w:val="en-US" w:eastAsia="zh-CN"/>
              </w:rPr>
            </w:pPr>
            <w:r>
              <w:rPr>
                <w:rFonts w:hint="eastAsia" w:ascii="宋体" w:hAnsi="宋体" w:eastAsia="宋体" w:cs="宋体"/>
                <w:b w:val="0"/>
                <w:bCs/>
                <w:color w:val="000000"/>
                <w:kern w:val="0"/>
                <w:sz w:val="18"/>
                <w:szCs w:val="18"/>
                <w:lang w:val="en-US" w:eastAsia="zh-CN"/>
              </w:rPr>
              <w:t>0</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eastAsia" w:ascii="宋体" w:hAnsi="宋体" w:eastAsia="宋体" w:cs="宋体"/>
                <w:b w:val="0"/>
                <w:bCs/>
                <w:color w:val="000000"/>
                <w:kern w:val="0"/>
                <w:sz w:val="18"/>
                <w:szCs w:val="18"/>
                <w:lang w:val="en-US" w:eastAsia="zh-CN"/>
              </w:rPr>
            </w:pPr>
            <w:r>
              <w:rPr>
                <w:rFonts w:hint="eastAsia" w:ascii="宋体" w:hAnsi="宋体" w:eastAsia="宋体" w:cs="宋体"/>
                <w:b w:val="0"/>
                <w:bCs/>
                <w:color w:val="000000"/>
                <w:kern w:val="0"/>
                <w:sz w:val="18"/>
                <w:szCs w:val="18"/>
                <w:lang w:val="en-US" w:eastAsia="zh-CN"/>
              </w:rPr>
              <w:t>0</w:t>
            </w:r>
          </w:p>
        </w:tc>
        <w:tc>
          <w:tcPr>
            <w:tcW w:w="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eastAsia" w:ascii="宋体" w:hAnsi="宋体" w:eastAsia="宋体" w:cs="宋体"/>
                <w:b w:val="0"/>
                <w:bCs/>
                <w:color w:val="000000"/>
                <w:kern w:val="0"/>
                <w:sz w:val="18"/>
                <w:szCs w:val="18"/>
                <w:lang w:val="en-US" w:eastAsia="zh-CN"/>
              </w:rPr>
            </w:pPr>
            <w:r>
              <w:rPr>
                <w:rFonts w:hint="eastAsia" w:ascii="宋体" w:hAnsi="宋体" w:eastAsia="宋体" w:cs="宋体"/>
                <w:b w:val="0"/>
                <w:bCs/>
                <w:color w:val="000000"/>
                <w:kern w:val="0"/>
                <w:sz w:val="18"/>
                <w:szCs w:val="18"/>
                <w:lang w:val="en-US" w:eastAsia="zh-CN"/>
              </w:rPr>
              <w:t>0</w:t>
            </w: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eastAsia" w:ascii="宋体" w:hAnsi="宋体" w:eastAsia="宋体" w:cs="宋体"/>
                <w:b w:val="0"/>
                <w:bCs/>
                <w:color w:val="000000"/>
                <w:kern w:val="0"/>
                <w:sz w:val="18"/>
                <w:szCs w:val="18"/>
                <w:lang w:val="en-US" w:eastAsia="zh-CN"/>
              </w:rPr>
            </w:pPr>
            <w:r>
              <w:rPr>
                <w:rFonts w:hint="eastAsia" w:ascii="宋体" w:hAnsi="宋体" w:eastAsia="宋体" w:cs="宋体"/>
                <w:b w:val="0"/>
                <w:bCs/>
                <w:color w:val="000000"/>
                <w:kern w:val="0"/>
                <w:sz w:val="18"/>
                <w:szCs w:val="18"/>
                <w:lang w:val="en-US" w:eastAsia="zh-CN"/>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6" w:hRule="atLeast"/>
        </w:trPr>
        <w:tc>
          <w:tcPr>
            <w:tcW w:w="8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ascii="宋体" w:hAnsi="宋体" w:eastAsia="宋体" w:cs="宋体"/>
                <w:b w:val="0"/>
                <w:bCs/>
                <w:color w:val="000000"/>
                <w:kern w:val="0"/>
                <w:sz w:val="18"/>
                <w:szCs w:val="18"/>
                <w:lang w:val="en-US" w:eastAsia="zh-CN"/>
              </w:rPr>
            </w:pPr>
            <w:r>
              <w:rPr>
                <w:rFonts w:hint="eastAsia" w:ascii="宋体" w:hAnsi="宋体" w:eastAsia="宋体" w:cs="宋体"/>
                <w:b w:val="0"/>
                <w:bCs/>
                <w:color w:val="000000"/>
                <w:kern w:val="0"/>
                <w:sz w:val="18"/>
                <w:szCs w:val="18"/>
                <w:lang w:val="en-US" w:eastAsia="zh-CN"/>
              </w:rPr>
              <w:t>绿色信贷金额变动折合减排情况</w:t>
            </w:r>
          </w:p>
        </w:tc>
        <w:tc>
          <w:tcPr>
            <w:tcW w:w="150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hint="default" w:ascii="宋体" w:hAnsi="宋体" w:eastAsia="宋体" w:cs="宋体"/>
                <w:b w:val="0"/>
                <w:bCs/>
                <w:color w:val="000000"/>
                <w:kern w:val="0"/>
                <w:sz w:val="18"/>
                <w:szCs w:val="18"/>
                <w:lang w:val="en-US" w:eastAsia="zh-CN"/>
              </w:rPr>
            </w:pPr>
            <w:r>
              <w:rPr>
                <w:rFonts w:hint="eastAsia" w:ascii="宋体" w:hAnsi="宋体" w:eastAsia="宋体" w:cs="宋体"/>
                <w:b w:val="0"/>
                <w:bCs/>
                <w:color w:val="000000"/>
                <w:kern w:val="0"/>
                <w:sz w:val="18"/>
                <w:szCs w:val="18"/>
                <w:lang w:val="en-US" w:eastAsia="zh-CN"/>
              </w:rPr>
              <w:t>折合节水（吨）</w:t>
            </w: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default" w:ascii="宋体" w:hAnsi="宋体" w:eastAsia="宋体" w:cs="宋体"/>
                <w:b w:val="0"/>
                <w:bCs/>
                <w:color w:val="000000"/>
                <w:kern w:val="0"/>
                <w:sz w:val="18"/>
                <w:szCs w:val="18"/>
                <w:lang w:val="en-US" w:eastAsia="zh-CN"/>
              </w:rPr>
            </w:pPr>
            <w:r>
              <w:rPr>
                <w:rFonts w:hint="eastAsia" w:ascii="宋体" w:hAnsi="宋体" w:eastAsia="宋体" w:cs="宋体"/>
                <w:b w:val="0"/>
                <w:bCs/>
                <w:color w:val="000000"/>
                <w:kern w:val="0"/>
                <w:sz w:val="18"/>
                <w:szCs w:val="18"/>
                <w:lang w:val="en-US" w:eastAsia="zh-CN"/>
              </w:rPr>
              <w:t>0</w:t>
            </w: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eastAsia" w:ascii="宋体" w:hAnsi="宋体" w:eastAsia="宋体" w:cs="宋体"/>
                <w:b w:val="0"/>
                <w:bCs/>
                <w:color w:val="000000"/>
                <w:kern w:val="0"/>
                <w:sz w:val="18"/>
                <w:szCs w:val="18"/>
                <w:lang w:val="en-US" w:eastAsia="zh-CN"/>
              </w:rPr>
            </w:pPr>
            <w:r>
              <w:rPr>
                <w:rFonts w:hint="eastAsia" w:ascii="宋体" w:hAnsi="宋体" w:eastAsia="宋体" w:cs="宋体"/>
                <w:b w:val="0"/>
                <w:bCs/>
                <w:color w:val="000000"/>
                <w:kern w:val="0"/>
                <w:sz w:val="18"/>
                <w:szCs w:val="18"/>
                <w:lang w:val="en-US" w:eastAsia="zh-CN"/>
              </w:rPr>
              <w:t>0</w:t>
            </w:r>
          </w:p>
        </w:tc>
        <w:tc>
          <w:tcPr>
            <w:tcW w:w="7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eastAsia" w:ascii="宋体" w:hAnsi="宋体" w:eastAsia="宋体" w:cs="宋体"/>
                <w:b w:val="0"/>
                <w:bCs/>
                <w:color w:val="000000"/>
                <w:kern w:val="0"/>
                <w:sz w:val="18"/>
                <w:szCs w:val="18"/>
                <w:lang w:val="en-US" w:eastAsia="zh-CN"/>
              </w:rPr>
            </w:pPr>
            <w:r>
              <w:rPr>
                <w:rFonts w:hint="eastAsia" w:ascii="宋体" w:hAnsi="宋体" w:eastAsia="宋体" w:cs="宋体"/>
                <w:b w:val="0"/>
                <w:bCs/>
                <w:color w:val="000000"/>
                <w:kern w:val="0"/>
                <w:sz w:val="18"/>
                <w:szCs w:val="18"/>
                <w:lang w:val="en-US" w:eastAsia="zh-CN"/>
              </w:rPr>
              <w:t>0</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eastAsia" w:ascii="宋体" w:hAnsi="宋体" w:eastAsia="宋体" w:cs="宋体"/>
                <w:b w:val="0"/>
                <w:bCs/>
                <w:color w:val="000000"/>
                <w:kern w:val="0"/>
                <w:sz w:val="18"/>
                <w:szCs w:val="18"/>
                <w:lang w:val="en-US" w:eastAsia="zh-CN"/>
              </w:rPr>
            </w:pPr>
            <w:r>
              <w:rPr>
                <w:rFonts w:hint="eastAsia" w:ascii="宋体" w:hAnsi="宋体" w:eastAsia="宋体" w:cs="宋体"/>
                <w:b w:val="0"/>
                <w:bCs/>
                <w:color w:val="000000"/>
                <w:kern w:val="0"/>
                <w:sz w:val="18"/>
                <w:szCs w:val="18"/>
                <w:lang w:val="en-US" w:eastAsia="zh-CN"/>
              </w:rPr>
              <w:t>0</w:t>
            </w:r>
          </w:p>
        </w:tc>
        <w:tc>
          <w:tcPr>
            <w:tcW w:w="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eastAsia" w:ascii="宋体" w:hAnsi="宋体" w:eastAsia="宋体" w:cs="宋体"/>
                <w:b w:val="0"/>
                <w:bCs/>
                <w:color w:val="000000"/>
                <w:kern w:val="0"/>
                <w:sz w:val="18"/>
                <w:szCs w:val="18"/>
                <w:lang w:val="en-US" w:eastAsia="zh-CN"/>
              </w:rPr>
            </w:pPr>
            <w:r>
              <w:rPr>
                <w:rFonts w:hint="eastAsia" w:ascii="宋体" w:hAnsi="宋体" w:eastAsia="宋体" w:cs="宋体"/>
                <w:b w:val="0"/>
                <w:bCs/>
                <w:color w:val="000000"/>
                <w:kern w:val="0"/>
                <w:sz w:val="18"/>
                <w:szCs w:val="18"/>
                <w:lang w:val="en-US" w:eastAsia="zh-CN"/>
              </w:rPr>
              <w:t>0</w:t>
            </w: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eastAsia" w:ascii="宋体" w:hAnsi="宋体" w:eastAsia="宋体" w:cs="宋体"/>
                <w:b w:val="0"/>
                <w:bCs/>
                <w:color w:val="000000"/>
                <w:kern w:val="0"/>
                <w:sz w:val="18"/>
                <w:szCs w:val="18"/>
                <w:lang w:val="en-US" w:eastAsia="zh-CN"/>
              </w:rPr>
            </w:pPr>
            <w:r>
              <w:rPr>
                <w:rFonts w:hint="eastAsia" w:ascii="宋体" w:hAnsi="宋体" w:eastAsia="宋体" w:cs="宋体"/>
                <w:b w:val="0"/>
                <w:bCs/>
                <w:color w:val="000000"/>
                <w:kern w:val="0"/>
                <w:sz w:val="18"/>
                <w:szCs w:val="18"/>
                <w:lang w:val="en-US" w:eastAsia="zh-CN"/>
              </w:rPr>
              <w:t>0</w:t>
            </w:r>
          </w:p>
        </w:tc>
        <w:tc>
          <w:tcPr>
            <w:tcW w:w="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eastAsia" w:ascii="宋体" w:hAnsi="宋体" w:eastAsia="宋体" w:cs="宋体"/>
                <w:b w:val="0"/>
                <w:bCs/>
                <w:color w:val="000000"/>
                <w:kern w:val="0"/>
                <w:sz w:val="18"/>
                <w:szCs w:val="18"/>
                <w:lang w:val="en-US" w:eastAsia="zh-CN"/>
              </w:rPr>
            </w:pPr>
            <w:r>
              <w:rPr>
                <w:rFonts w:hint="eastAsia" w:ascii="宋体" w:hAnsi="宋体" w:eastAsia="宋体" w:cs="宋体"/>
                <w:b w:val="0"/>
                <w:bCs/>
                <w:color w:val="000000"/>
                <w:kern w:val="0"/>
                <w:sz w:val="18"/>
                <w:szCs w:val="18"/>
                <w:lang w:val="en-US" w:eastAsia="zh-CN"/>
              </w:rPr>
              <w:t>0</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eastAsia" w:ascii="宋体" w:hAnsi="宋体" w:eastAsia="宋体" w:cs="宋体"/>
                <w:b w:val="0"/>
                <w:bCs/>
                <w:color w:val="000000"/>
                <w:kern w:val="0"/>
                <w:sz w:val="18"/>
                <w:szCs w:val="18"/>
                <w:lang w:val="en-US" w:eastAsia="zh-CN"/>
              </w:rPr>
            </w:pPr>
            <w:r>
              <w:rPr>
                <w:rFonts w:hint="eastAsia" w:ascii="宋体" w:hAnsi="宋体" w:eastAsia="宋体" w:cs="宋体"/>
                <w:b w:val="0"/>
                <w:bCs/>
                <w:color w:val="000000"/>
                <w:kern w:val="0"/>
                <w:sz w:val="18"/>
                <w:szCs w:val="18"/>
                <w:lang w:val="en-US" w:eastAsia="zh-CN"/>
              </w:rPr>
              <w:t>0</w:t>
            </w:r>
          </w:p>
        </w:tc>
        <w:tc>
          <w:tcPr>
            <w:tcW w:w="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eastAsia" w:ascii="宋体" w:hAnsi="宋体" w:eastAsia="宋体" w:cs="宋体"/>
                <w:b w:val="0"/>
                <w:bCs/>
                <w:color w:val="000000"/>
                <w:kern w:val="0"/>
                <w:sz w:val="18"/>
                <w:szCs w:val="18"/>
                <w:lang w:val="en-US" w:eastAsia="zh-CN"/>
              </w:rPr>
            </w:pPr>
            <w:r>
              <w:rPr>
                <w:rFonts w:hint="eastAsia" w:ascii="宋体" w:hAnsi="宋体" w:eastAsia="宋体" w:cs="宋体"/>
                <w:b w:val="0"/>
                <w:bCs/>
                <w:color w:val="000000"/>
                <w:kern w:val="0"/>
                <w:sz w:val="18"/>
                <w:szCs w:val="18"/>
                <w:lang w:val="en-US" w:eastAsia="zh-CN"/>
              </w:rPr>
              <w:t>0</w:t>
            </w: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hint="eastAsia" w:ascii="宋体" w:hAnsi="宋体" w:eastAsia="宋体" w:cs="宋体"/>
                <w:b w:val="0"/>
                <w:bCs/>
                <w:color w:val="000000"/>
                <w:kern w:val="0"/>
                <w:sz w:val="18"/>
                <w:szCs w:val="18"/>
                <w:lang w:val="en-US" w:eastAsia="zh-CN"/>
              </w:rPr>
            </w:pPr>
            <w:r>
              <w:rPr>
                <w:rFonts w:hint="eastAsia" w:ascii="宋体" w:hAnsi="宋体" w:eastAsia="宋体" w:cs="宋体"/>
                <w:b w:val="0"/>
                <w:bCs/>
                <w:color w:val="000000"/>
                <w:kern w:val="0"/>
                <w:sz w:val="18"/>
                <w:szCs w:val="18"/>
                <w:lang w:val="en-US" w:eastAsia="zh-CN"/>
              </w:rPr>
              <w:t>0</w:t>
            </w:r>
          </w:p>
        </w:tc>
      </w:tr>
    </w:tbl>
    <w:p>
      <w:pPr>
        <w:pStyle w:val="2"/>
        <w:keepNext w:val="0"/>
        <w:keepLines w:val="0"/>
        <w:pageBreakBefore w:val="0"/>
        <w:widowControl w:val="0"/>
        <w:kinsoku/>
        <w:wordWrap/>
        <w:overflowPunct/>
        <w:topLinePunct w:val="0"/>
        <w:autoSpaceDE/>
        <w:autoSpaceDN/>
        <w:bidi w:val="0"/>
        <w:adjustRightInd/>
        <w:snapToGrid/>
        <w:spacing w:after="0" w:line="240" w:lineRule="auto"/>
        <w:textAlignment w:val="auto"/>
        <w:rPr>
          <w:rFonts w:hint="eastAsia" w:ascii="仿宋" w:hAnsi="仿宋" w:eastAsia="仿宋" w:cs="仿宋"/>
          <w:b w:val="0"/>
          <w:bCs/>
          <w:snapToGrid w:val="0"/>
          <w:color w:val="auto"/>
          <w:spacing w:val="6"/>
          <w:kern w:val="0"/>
          <w:sz w:val="18"/>
          <w:szCs w:val="18"/>
          <w:lang w:val="en-US" w:eastAsia="zh-CN" w:bidi="ar-SA"/>
        </w:rPr>
      </w:pPr>
      <w:bookmarkStart w:id="38" w:name="_Toc17924"/>
    </w:p>
    <w:p>
      <w:pPr>
        <w:keepNext w:val="0"/>
        <w:keepLines w:val="0"/>
        <w:pageBreakBefore w:val="0"/>
        <w:widowControl/>
        <w:numPr>
          <w:ilvl w:val="0"/>
          <w:numId w:val="0"/>
        </w:numPr>
        <w:kinsoku/>
        <w:wordWrap/>
        <w:overflowPunct/>
        <w:topLinePunct w:val="0"/>
        <w:autoSpaceDE w:val="0"/>
        <w:autoSpaceDN w:val="0"/>
        <w:bidi w:val="0"/>
        <w:adjustRightInd w:val="0"/>
        <w:snapToGrid w:val="0"/>
        <w:spacing w:before="149" w:beforeLines="50" w:line="240" w:lineRule="auto"/>
        <w:ind w:left="0" w:leftChars="0" w:firstLine="0" w:firstLineChars="0"/>
        <w:textAlignment w:val="baseline"/>
        <w:outlineLvl w:val="0"/>
        <w:rPr>
          <w:rFonts w:hint="eastAsia" w:ascii="微软雅黑" w:hAnsi="微软雅黑" w:eastAsia="微软雅黑" w:cs="微软雅黑"/>
          <w:b w:val="0"/>
          <w:bCs/>
          <w:color w:val="000000" w:themeColor="text1"/>
          <w:kern w:val="2"/>
          <w:sz w:val="28"/>
          <w:szCs w:val="28"/>
          <w:lang w:val="en-US" w:eastAsia="zh-CN" w:bidi="ar-SA"/>
          <w14:textFill>
            <w14:solidFill>
              <w14:schemeClr w14:val="tx1"/>
            </w14:solidFill>
          </w14:textFill>
        </w:rPr>
      </w:pPr>
      <w:r>
        <w:rPr>
          <w:rFonts w:hint="eastAsia" w:ascii="微软雅黑" w:hAnsi="微软雅黑" w:eastAsia="微软雅黑" w:cs="微软雅黑"/>
          <w:b w:val="0"/>
          <w:bCs/>
          <w:color w:val="000000" w:themeColor="text1"/>
          <w:kern w:val="2"/>
          <w:sz w:val="28"/>
          <w:szCs w:val="28"/>
          <w:lang w:val="en-US" w:eastAsia="zh-CN" w:bidi="ar-SA"/>
          <w14:textFill>
            <w14:solidFill>
              <w14:schemeClr w14:val="tx1"/>
            </w14:solidFill>
          </w14:textFill>
        </w:rPr>
        <w:t>8.3 绿色债券</w:t>
      </w:r>
      <w:bookmarkEnd w:id="38"/>
    </w:p>
    <w:p>
      <w:pPr>
        <w:ind w:firstLine="504" w:firstLineChars="200"/>
        <w:rPr>
          <w:rFonts w:hint="eastAsia" w:ascii="仿宋" w:hAnsi="仿宋" w:eastAsia="仿宋" w:cs="仿宋"/>
          <w:b w:val="0"/>
          <w:bCs/>
          <w:snapToGrid w:val="0"/>
          <w:color w:val="000000" w:themeColor="text1"/>
          <w:spacing w:val="6"/>
          <w:kern w:val="0"/>
          <w:sz w:val="24"/>
          <w:szCs w:val="24"/>
          <w:lang w:eastAsia="zh-CN"/>
          <w14:textFill>
            <w14:solidFill>
              <w14:schemeClr w14:val="tx1"/>
            </w14:solidFill>
          </w14:textFill>
        </w:rPr>
      </w:pPr>
      <w:r>
        <w:rPr>
          <w:rFonts w:hint="eastAsia"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报告年度内</w:t>
      </w:r>
      <w:r>
        <w:rPr>
          <w:rFonts w:hint="eastAsia" w:cs="仿宋"/>
          <w:b w:val="0"/>
          <w:bCs/>
          <w:snapToGrid w:val="0"/>
          <w:color w:val="000000" w:themeColor="text1"/>
          <w:spacing w:val="6"/>
          <w:kern w:val="0"/>
          <w:sz w:val="24"/>
          <w:szCs w:val="24"/>
          <w:lang w:eastAsia="zh-CN"/>
          <w14:textFill>
            <w14:solidFill>
              <w14:schemeClr w14:val="tx1"/>
            </w14:solidFill>
          </w14:textFill>
        </w:rPr>
        <w:t>本行</w:t>
      </w:r>
      <w:r>
        <w:rPr>
          <w:rFonts w:hint="eastAsia" w:cs="仿宋"/>
          <w:b w:val="0"/>
          <w:bCs/>
          <w:snapToGrid w:val="0"/>
          <w:color w:val="000000" w:themeColor="text1"/>
          <w:spacing w:val="6"/>
          <w:kern w:val="0"/>
          <w:sz w:val="24"/>
          <w:szCs w:val="24"/>
          <w:lang w:val="en-US" w:eastAsia="zh-CN"/>
          <w14:textFill>
            <w14:solidFill>
              <w14:schemeClr w14:val="tx1"/>
            </w14:solidFill>
          </w14:textFill>
        </w:rPr>
        <w:t>未持有</w:t>
      </w:r>
      <w:r>
        <w:rPr>
          <w:rFonts w:hint="eastAsia" w:ascii="仿宋" w:hAnsi="仿宋" w:eastAsia="仿宋" w:cs="仿宋"/>
          <w:b w:val="0"/>
          <w:bCs/>
          <w:snapToGrid w:val="0"/>
          <w:color w:val="000000" w:themeColor="text1"/>
          <w:spacing w:val="6"/>
          <w:kern w:val="0"/>
          <w:sz w:val="24"/>
          <w:szCs w:val="24"/>
          <w14:textFill>
            <w14:solidFill>
              <w14:schemeClr w14:val="tx1"/>
            </w14:solidFill>
          </w14:textFill>
        </w:rPr>
        <w:t>绿色债券</w:t>
      </w:r>
      <w:r>
        <w:rPr>
          <w:rFonts w:hint="eastAsia" w:cs="仿宋"/>
          <w:b w:val="0"/>
          <w:bCs/>
          <w:snapToGrid w:val="0"/>
          <w:color w:val="000000" w:themeColor="text1"/>
          <w:spacing w:val="6"/>
          <w:kern w:val="0"/>
          <w:sz w:val="24"/>
          <w:szCs w:val="24"/>
          <w:lang w:val="en-US" w:eastAsia="zh-CN"/>
          <w14:textFill>
            <w14:solidFill>
              <w14:schemeClr w14:val="tx1"/>
            </w14:solidFill>
          </w14:textFill>
        </w:rPr>
        <w:t>资产。</w:t>
      </w:r>
    </w:p>
    <w:p>
      <w:pPr>
        <w:pStyle w:val="2"/>
        <w:keepNext w:val="0"/>
        <w:keepLines w:val="0"/>
        <w:pageBreakBefore w:val="0"/>
        <w:widowControl w:val="0"/>
        <w:kinsoku/>
        <w:wordWrap/>
        <w:overflowPunct/>
        <w:topLinePunct w:val="0"/>
        <w:autoSpaceDE/>
        <w:autoSpaceDN/>
        <w:bidi w:val="0"/>
        <w:adjustRightInd/>
        <w:snapToGrid/>
        <w:spacing w:after="0" w:line="240" w:lineRule="auto"/>
        <w:textAlignment w:val="auto"/>
        <w:rPr>
          <w:rFonts w:hint="eastAsia" w:ascii="仿宋" w:hAnsi="仿宋" w:eastAsia="仿宋" w:cs="仿宋"/>
          <w:b w:val="0"/>
          <w:bCs/>
          <w:snapToGrid w:val="0"/>
          <w:color w:val="auto"/>
          <w:spacing w:val="6"/>
          <w:kern w:val="0"/>
          <w:sz w:val="18"/>
          <w:szCs w:val="18"/>
          <w:lang w:val="en-US" w:eastAsia="zh-CN" w:bidi="ar-SA"/>
        </w:rPr>
      </w:pPr>
      <w:bookmarkStart w:id="39" w:name="_Toc19912"/>
      <w:bookmarkStart w:id="40" w:name="_Toc18630"/>
      <w:bookmarkStart w:id="41" w:name="_Toc29503"/>
    </w:p>
    <w:p>
      <w:pPr>
        <w:keepNext w:val="0"/>
        <w:keepLines w:val="0"/>
        <w:pageBreakBefore w:val="0"/>
        <w:widowControl/>
        <w:numPr>
          <w:ilvl w:val="0"/>
          <w:numId w:val="0"/>
        </w:numPr>
        <w:kinsoku/>
        <w:wordWrap/>
        <w:overflowPunct/>
        <w:topLinePunct w:val="0"/>
        <w:autoSpaceDE w:val="0"/>
        <w:autoSpaceDN w:val="0"/>
        <w:bidi w:val="0"/>
        <w:adjustRightInd w:val="0"/>
        <w:snapToGrid w:val="0"/>
        <w:spacing w:before="149" w:beforeLines="50" w:line="240" w:lineRule="auto"/>
        <w:ind w:left="0" w:leftChars="0" w:firstLine="0" w:firstLineChars="0"/>
        <w:textAlignment w:val="baseline"/>
        <w:outlineLvl w:val="0"/>
        <w:rPr>
          <w:rFonts w:hint="eastAsia" w:ascii="微软雅黑" w:hAnsi="微软雅黑" w:eastAsia="微软雅黑" w:cs="微软雅黑"/>
          <w:b w:val="0"/>
          <w:bCs/>
          <w:color w:val="000000" w:themeColor="text1"/>
          <w:kern w:val="2"/>
          <w:sz w:val="28"/>
          <w:szCs w:val="28"/>
          <w:lang w:val="en-US" w:eastAsia="zh-CN" w:bidi="ar-SA"/>
          <w14:textFill>
            <w14:solidFill>
              <w14:schemeClr w14:val="tx1"/>
            </w14:solidFill>
          </w14:textFill>
        </w:rPr>
      </w:pPr>
      <w:r>
        <w:rPr>
          <w:rFonts w:hint="eastAsia" w:ascii="微软雅黑" w:hAnsi="微软雅黑" w:eastAsia="微软雅黑" w:cs="微软雅黑"/>
          <w:b w:val="0"/>
          <w:bCs/>
          <w:color w:val="000000" w:themeColor="text1"/>
          <w:kern w:val="2"/>
          <w:sz w:val="28"/>
          <w:szCs w:val="28"/>
          <w:lang w:val="en-US" w:eastAsia="zh-CN" w:bidi="ar-SA"/>
          <w14:textFill>
            <w14:solidFill>
              <w14:schemeClr w14:val="tx1"/>
            </w14:solidFill>
          </w14:textFill>
        </w:rPr>
        <w:t>8.4重大绿色项目环境效益</w:t>
      </w:r>
      <w:bookmarkEnd w:id="39"/>
      <w:bookmarkEnd w:id="40"/>
      <w:bookmarkEnd w:id="41"/>
    </w:p>
    <w:p>
      <w:pPr>
        <w:pStyle w:val="18"/>
        <w:keepNext w:val="0"/>
        <w:keepLines w:val="0"/>
        <w:pageBreakBefore w:val="0"/>
        <w:tabs>
          <w:tab w:val="right" w:leader="dot" w:pos="9897"/>
        </w:tabs>
        <w:kinsoku/>
        <w:wordWrap/>
        <w:overflowPunct/>
        <w:topLinePunct w:val="0"/>
        <w:bidi w:val="0"/>
        <w:adjustRightInd w:val="0"/>
        <w:snapToGrid w:val="0"/>
        <w:spacing w:line="240" w:lineRule="auto"/>
        <w:ind w:left="0" w:leftChars="0" w:firstLine="0" w:firstLineChars="0"/>
        <w:jc w:val="center"/>
        <w:rPr>
          <w:rFonts w:hint="eastAsia" w:ascii="仿宋" w:hAnsi="仿宋" w:eastAsia="仿宋" w:cs="仿宋"/>
          <w:b w:val="0"/>
          <w:bCs/>
          <w:snapToGrid w:val="0"/>
          <w:color w:val="000000" w:themeColor="text1"/>
          <w:spacing w:val="6"/>
          <w:kern w:val="0"/>
          <w:sz w:val="24"/>
          <w:szCs w:val="24"/>
          <w:lang w:val="en-US" w:eastAsia="zh-CN"/>
          <w14:textFill>
            <w14:solidFill>
              <w14:schemeClr w14:val="tx1"/>
            </w14:solidFill>
          </w14:textFill>
        </w:rPr>
      </w:pPr>
      <w:r>
        <w:rPr>
          <w:rFonts w:hint="eastAsia"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报告期期末本行未持有贷款余额或持有债券余额在10亿元及以上的绿色项目。</w:t>
      </w:r>
    </w:p>
    <w:p>
      <w:pPr>
        <w:rPr>
          <w:rFonts w:hint="eastAsia" w:ascii="仿宋" w:hAnsi="仿宋" w:eastAsia="仿宋" w:cs="仿宋"/>
          <w:b w:val="0"/>
          <w:bCs/>
          <w:snapToGrid w:val="0"/>
          <w:color w:val="000000" w:themeColor="text1"/>
          <w:spacing w:val="6"/>
          <w:kern w:val="0"/>
          <w:sz w:val="24"/>
          <w:szCs w:val="24"/>
          <w:lang w:val="en-US" w:eastAsia="zh-CN"/>
          <w14:textFill>
            <w14:solidFill>
              <w14:schemeClr w14:val="tx1"/>
            </w14:solidFill>
          </w14:textFill>
        </w:rPr>
      </w:pPr>
      <w:r>
        <w:rPr>
          <w:rFonts w:hint="eastAsia" w:ascii="仿宋" w:hAnsi="仿宋" w:eastAsia="仿宋" w:cs="仿宋"/>
          <w:b w:val="0"/>
          <w:bCs/>
          <w:snapToGrid w:val="0"/>
          <w:color w:val="000000" w:themeColor="text1"/>
          <w:spacing w:val="6"/>
          <w:kern w:val="0"/>
          <w:sz w:val="24"/>
          <w:szCs w:val="24"/>
          <w:lang w:val="en-US" w:eastAsia="zh-CN"/>
          <w14:textFill>
            <w14:solidFill>
              <w14:schemeClr w14:val="tx1"/>
            </w14:solidFill>
          </w14:textFill>
        </w:rPr>
        <w:br w:type="page"/>
      </w:r>
    </w:p>
    <w:p>
      <w:pPr>
        <w:pStyle w:val="18"/>
        <w:keepNext w:val="0"/>
        <w:keepLines w:val="0"/>
        <w:pageBreakBefore w:val="0"/>
        <w:numPr>
          <w:ilvl w:val="0"/>
          <w:numId w:val="6"/>
        </w:numPr>
        <w:tabs>
          <w:tab w:val="right" w:leader="dot" w:pos="9897"/>
        </w:tabs>
        <w:kinsoku/>
        <w:wordWrap/>
        <w:overflowPunct/>
        <w:topLinePunct w:val="0"/>
        <w:bidi w:val="0"/>
        <w:adjustRightInd w:val="0"/>
        <w:snapToGrid w:val="0"/>
        <w:spacing w:line="240" w:lineRule="auto"/>
        <w:ind w:left="0" w:leftChars="0" w:firstLine="0" w:firstLineChars="0"/>
        <w:jc w:val="center"/>
        <w:outlineLvl w:val="0"/>
        <w:rPr>
          <w:rFonts w:hint="eastAsia" w:ascii="微软雅黑" w:hAnsi="微软雅黑" w:eastAsia="微软雅黑" w:cs="微软雅黑"/>
          <w:b w:val="0"/>
          <w:bCs/>
          <w:color w:val="00B050"/>
          <w:kern w:val="2"/>
          <w:sz w:val="32"/>
          <w:szCs w:val="32"/>
          <w:lang w:val="en-US" w:eastAsia="zh-CN" w:bidi="ar-SA"/>
        </w:rPr>
      </w:pPr>
      <w:bookmarkStart w:id="42" w:name="_Toc15698"/>
      <w:r>
        <w:rPr>
          <w:rFonts w:hint="eastAsia" w:ascii="微软雅黑" w:hAnsi="微软雅黑" w:eastAsia="微软雅黑" w:cs="微软雅黑"/>
          <w:b w:val="0"/>
          <w:bCs/>
          <w:color w:val="00B050"/>
          <w:kern w:val="2"/>
          <w:sz w:val="32"/>
          <w:szCs w:val="32"/>
          <w:lang w:val="en-US" w:eastAsia="zh-CN" w:bidi="ar-SA"/>
        </w:rPr>
        <w:t>绿色金融创新及研究成果</w:t>
      </w:r>
      <w:bookmarkEnd w:id="42"/>
    </w:p>
    <w:p>
      <w:pPr>
        <w:keepNext w:val="0"/>
        <w:keepLines w:val="0"/>
        <w:pageBreakBefore w:val="0"/>
        <w:widowControl/>
        <w:numPr>
          <w:ilvl w:val="0"/>
          <w:numId w:val="0"/>
        </w:numPr>
        <w:kinsoku/>
        <w:wordWrap/>
        <w:overflowPunct/>
        <w:topLinePunct w:val="0"/>
        <w:autoSpaceDE w:val="0"/>
        <w:autoSpaceDN w:val="0"/>
        <w:bidi w:val="0"/>
        <w:adjustRightInd w:val="0"/>
        <w:snapToGrid w:val="0"/>
        <w:spacing w:before="149" w:beforeLines="50" w:line="240" w:lineRule="auto"/>
        <w:ind w:left="0" w:leftChars="0" w:firstLine="0" w:firstLineChars="0"/>
        <w:textAlignment w:val="baseline"/>
        <w:outlineLvl w:val="0"/>
        <w:rPr>
          <w:rFonts w:hint="eastAsia" w:ascii="微软雅黑" w:hAnsi="微软雅黑" w:eastAsia="微软雅黑" w:cs="微软雅黑"/>
          <w:b w:val="0"/>
          <w:bCs/>
          <w:color w:val="000000" w:themeColor="text1"/>
          <w:kern w:val="2"/>
          <w:sz w:val="28"/>
          <w:szCs w:val="28"/>
          <w:lang w:val="en-US" w:eastAsia="zh-CN" w:bidi="ar-SA"/>
          <w14:textFill>
            <w14:solidFill>
              <w14:schemeClr w14:val="tx1"/>
            </w14:solidFill>
          </w14:textFill>
        </w:rPr>
      </w:pPr>
      <w:bookmarkStart w:id="43" w:name="_Toc10206"/>
      <w:r>
        <w:rPr>
          <w:rFonts w:hint="eastAsia" w:ascii="微软雅黑" w:hAnsi="微软雅黑" w:eastAsia="微软雅黑" w:cs="微软雅黑"/>
          <w:b w:val="0"/>
          <w:bCs/>
          <w:color w:val="000000" w:themeColor="text1"/>
          <w:kern w:val="2"/>
          <w:sz w:val="28"/>
          <w:szCs w:val="28"/>
          <w:lang w:val="en-US" w:eastAsia="zh-CN" w:bidi="ar-SA"/>
          <w14:textFill>
            <w14:solidFill>
              <w14:schemeClr w14:val="tx1"/>
            </w14:solidFill>
          </w14:textFill>
        </w:rPr>
        <w:t>9.1 创新产品及服务</w:t>
      </w:r>
      <w:bookmarkEnd w:id="43"/>
    </w:p>
    <w:p>
      <w:pPr>
        <w:pageBreakBefore w:val="0"/>
        <w:widowControl/>
        <w:kinsoku w:val="0"/>
        <w:wordWrap/>
        <w:topLinePunct w:val="0"/>
        <w:autoSpaceDE w:val="0"/>
        <w:autoSpaceDN w:val="0"/>
        <w:bidi w:val="0"/>
        <w:adjustRightInd w:val="0"/>
        <w:snapToGrid w:val="0"/>
        <w:spacing w:before="149" w:beforeLines="50" w:line="240" w:lineRule="auto"/>
        <w:ind w:firstLine="480" w:firstLineChars="200"/>
        <w:textAlignment w:val="baseline"/>
        <w:outlineLvl w:val="2"/>
        <w:rPr>
          <w:rFonts w:hint="default" w:ascii="微软雅黑" w:hAnsi="微软雅黑" w:eastAsia="微软雅黑" w:cs="微软雅黑"/>
          <w:b w:val="0"/>
          <w:bCs/>
          <w:color w:val="000000" w:themeColor="text1"/>
          <w:kern w:val="2"/>
          <w:sz w:val="24"/>
          <w:szCs w:val="24"/>
          <w:lang w:val="en-US" w:eastAsia="zh-CN" w:bidi="ar-SA"/>
          <w14:textFill>
            <w14:solidFill>
              <w14:schemeClr w14:val="tx1"/>
            </w14:solidFill>
          </w14:textFill>
        </w:rPr>
      </w:pPr>
      <w:r>
        <w:rPr>
          <w:rFonts w:hint="eastAsia" w:ascii="微软雅黑" w:hAnsi="微软雅黑" w:eastAsia="微软雅黑" w:cs="微软雅黑"/>
          <w:b w:val="0"/>
          <w:bCs/>
          <w:color w:val="000000" w:themeColor="text1"/>
          <w:kern w:val="2"/>
          <w:sz w:val="24"/>
          <w:szCs w:val="24"/>
          <w:lang w:val="en-US" w:eastAsia="zh-CN" w:bidi="ar-SA"/>
          <w14:textFill>
            <w14:solidFill>
              <w14:schemeClr w14:val="tx1"/>
            </w14:solidFill>
          </w14:textFill>
        </w:rPr>
        <w:t>9.1.1</w:t>
      </w:r>
      <w:r>
        <w:rPr>
          <w:rFonts w:hint="default" w:ascii="微软雅黑" w:hAnsi="微软雅黑" w:eastAsia="微软雅黑" w:cs="微软雅黑"/>
          <w:b w:val="0"/>
          <w:bCs/>
          <w:color w:val="000000" w:themeColor="text1"/>
          <w:kern w:val="2"/>
          <w:sz w:val="24"/>
          <w:szCs w:val="24"/>
          <w:lang w:val="en-US" w:eastAsia="zh-CN" w:bidi="ar-SA"/>
          <w14:textFill>
            <w14:solidFill>
              <w14:schemeClr w14:val="tx1"/>
            </w14:solidFill>
          </w14:textFill>
        </w:rPr>
        <w:t>“气象贷”：气象数据赋能绿色普惠金融</w:t>
      </w:r>
    </w:p>
    <w:p>
      <w:pPr>
        <w:keepNext w:val="0"/>
        <w:keepLines w:val="0"/>
        <w:pageBreakBefore w:val="0"/>
        <w:widowControl/>
        <w:kinsoku/>
        <w:wordWrap/>
        <w:overflowPunct/>
        <w:topLinePunct w:val="0"/>
        <w:autoSpaceDE w:val="0"/>
        <w:autoSpaceDN w:val="0"/>
        <w:bidi w:val="0"/>
        <w:adjustRightInd w:val="0"/>
        <w:snapToGrid w:val="0"/>
        <w:spacing w:before="149" w:beforeLines="50" w:line="240" w:lineRule="auto"/>
        <w:ind w:firstLine="504" w:firstLineChars="200"/>
        <w:textAlignment w:val="baseline"/>
        <w:outlineLvl w:val="9"/>
        <w:rPr>
          <w:rFonts w:hint="default" w:ascii="Segoe UI" w:hAnsi="Segoe UI" w:eastAsia="Segoe UI" w:cs="Segoe UI"/>
          <w:i w:val="0"/>
          <w:iCs w:val="0"/>
          <w:caps w:val="0"/>
          <w:color w:val="0F1115"/>
          <w:spacing w:val="0"/>
          <w:sz w:val="24"/>
          <w:szCs w:val="24"/>
        </w:rPr>
      </w:pP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“气象贷”是扬州农商银行面向辖区内开展气候适应型农业、可再生资源利用、气候适应型基础设施建设等经营主体及个人发放的特色信贷产品</w:t>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begin"/>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instrText xml:space="preserve"> HYPERLINK "http://www.yznews.com.cn/wap/2026-06/28/content_7825586.html" \t "https://chat.deepseek.com/a/chat/s/_blank" </w:instrText>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separate"/>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end"/>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。产品聚焦农业生产和产业经营中各类气候风险防控，依托气象部门提供的灾害风险评估、气候可行性论证等权威数据，将气象要素纳入贷前审查、贷中审批及贷后管理全流程</w:t>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begin"/>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instrText xml:space="preserve"> HYPERLINK "http://www.yznews.com.cn/wap/2026-06/28/content_7825586.html" \t "https://chat.deepseek.com/a/chat/s/_blank" </w:instrText>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separate"/>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end"/>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。通过将气候灾害防御能力等指标纳入授信评价体系，实现气象“冷数据”向信用“硬资产”的有效转化，为企业提供低成本融资支持</w:t>
      </w:r>
      <w:r>
        <w:rPr>
          <w:rFonts w:hint="eastAsia"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w:t>
      </w:r>
      <w:r>
        <w:rPr>
          <w:rFonts w:hint="default" w:ascii="Segoe UI" w:hAnsi="Segoe UI" w:eastAsia="Segoe UI" w:cs="Segoe UI"/>
          <w:i w:val="0"/>
          <w:iCs w:val="0"/>
          <w:caps w:val="0"/>
          <w:color w:val="3964FE"/>
          <w:spacing w:val="0"/>
          <w:sz w:val="24"/>
          <w:szCs w:val="24"/>
          <w:u w:val="none"/>
          <w:bdr w:val="single" w:color="auto" w:sz="18" w:space="0"/>
          <w:shd w:val="clear" w:fill="FFFFFF"/>
        </w:rPr>
        <w:fldChar w:fldCharType="begin"/>
      </w:r>
      <w:r>
        <w:rPr>
          <w:rFonts w:hint="default" w:ascii="Segoe UI" w:hAnsi="Segoe UI" w:eastAsia="Segoe UI" w:cs="Segoe UI"/>
          <w:i w:val="0"/>
          <w:iCs w:val="0"/>
          <w:caps w:val="0"/>
          <w:color w:val="3964FE"/>
          <w:spacing w:val="0"/>
          <w:sz w:val="24"/>
          <w:szCs w:val="24"/>
          <w:u w:val="none"/>
          <w:bdr w:val="single" w:color="auto" w:sz="18" w:space="0"/>
          <w:shd w:val="clear" w:fill="FFFFFF"/>
        </w:rPr>
        <w:instrText xml:space="preserve"> HYPERLINK "http://www.yznews.com.cn/wap/2026-06/28/content_7825586.html" \t "https://chat.deepseek.com/a/chat/s/_blank" </w:instrText>
      </w:r>
      <w:r>
        <w:rPr>
          <w:rFonts w:hint="default" w:ascii="Segoe UI" w:hAnsi="Segoe UI" w:eastAsia="Segoe UI" w:cs="Segoe UI"/>
          <w:i w:val="0"/>
          <w:iCs w:val="0"/>
          <w:caps w:val="0"/>
          <w:color w:val="3964FE"/>
          <w:spacing w:val="0"/>
          <w:sz w:val="24"/>
          <w:szCs w:val="24"/>
          <w:u w:val="none"/>
          <w:bdr w:val="single" w:color="auto" w:sz="18" w:space="0"/>
          <w:shd w:val="clear" w:fill="FFFFFF"/>
        </w:rPr>
        <w:fldChar w:fldCharType="separate"/>
      </w:r>
      <w:r>
        <w:rPr>
          <w:rFonts w:hint="default" w:ascii="Segoe UI" w:hAnsi="Segoe UI" w:eastAsia="Segoe UI" w:cs="Segoe UI"/>
          <w:i w:val="0"/>
          <w:iCs w:val="0"/>
          <w:caps w:val="0"/>
          <w:color w:val="3964FE"/>
          <w:spacing w:val="0"/>
          <w:sz w:val="24"/>
          <w:szCs w:val="24"/>
          <w:u w:val="none"/>
          <w:bdr w:val="single" w:color="auto" w:sz="18" w:space="0"/>
          <w:shd w:val="clear" w:fill="FFFFFF"/>
        </w:rPr>
        <w:fldChar w:fldCharType="end"/>
      </w:r>
    </w:p>
    <w:p>
      <w:pPr>
        <w:keepNext w:val="0"/>
        <w:keepLines w:val="0"/>
        <w:pageBreakBefore w:val="0"/>
        <w:widowControl/>
        <w:kinsoku/>
        <w:wordWrap/>
        <w:overflowPunct/>
        <w:topLinePunct w:val="0"/>
        <w:autoSpaceDE w:val="0"/>
        <w:autoSpaceDN w:val="0"/>
        <w:bidi w:val="0"/>
        <w:adjustRightInd w:val="0"/>
        <w:snapToGrid w:val="0"/>
        <w:spacing w:before="149" w:beforeLines="50" w:line="240" w:lineRule="auto"/>
        <w:ind w:firstLine="504" w:firstLineChars="200"/>
        <w:textAlignment w:val="baseline"/>
        <w:outlineLvl w:val="9"/>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pP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在人民银行扬州市分行和扬州市气象局指导下，扬州农商银行向广陵区某家庭农场成功发放“气象贷”500万元，年利率仅3.16%</w:t>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begin"/>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instrText xml:space="preserve"> HYPERLINK "http://www.yznews.com.cn/wap/2026-06/28/content_7825586.html" \t "https://chat.deepseek.com/a/chat/s/_blank" </w:instrText>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separate"/>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end"/>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。该笔贷款专项用于支持甲鱼育苗及成品养殖的气候适应型生产，标志着气象“冷数据”转化为金融授信的“活信用”迈出了实质性一步</w:t>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begin"/>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instrText xml:space="preserve"> HYPERLINK "http://www.yznews.com.cn/wap/2026-06/28/content_7825586.html" \t "https://chat.deepseek.com/a/chat/s/_blank" </w:instrText>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separate"/>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end"/>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w:t>
      </w:r>
    </w:p>
    <w:p>
      <w:pPr>
        <w:keepNext w:val="0"/>
        <w:keepLines w:val="0"/>
        <w:pageBreakBefore w:val="0"/>
        <w:widowControl/>
        <w:kinsoku/>
        <w:wordWrap/>
        <w:overflowPunct/>
        <w:topLinePunct w:val="0"/>
        <w:autoSpaceDE w:val="0"/>
        <w:autoSpaceDN w:val="0"/>
        <w:bidi w:val="0"/>
        <w:adjustRightInd w:val="0"/>
        <w:snapToGrid w:val="0"/>
        <w:spacing w:before="149" w:beforeLines="50" w:line="240" w:lineRule="auto"/>
        <w:ind w:firstLine="504" w:firstLineChars="200"/>
        <w:textAlignment w:val="baseline"/>
        <w:outlineLvl w:val="9"/>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pP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本次获贷家庭农场系区级现代农业重点项目，主营甲鱼育苗与成品养殖，拥有标准化养殖面积190亩，建有特种水产温室大棚，年产保育幼鳖超30万公斤</w:t>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begin"/>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instrText xml:space="preserve"> HYPERLINK "http://www.yznews.com.cn/wap/2026-06/28/content_7825586.html" \t "https://chat.deepseek.com/a/chat/s/_blank" </w:instrText>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separate"/>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end"/>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。甲鱼属变温特种水产，生长繁育对气温、水温及强对流、寒潮、梅雨等气象条件高度依赖，温室养殖需根据天气变化实时调控棚内环境</w:t>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begin"/>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instrText xml:space="preserve"> HYPERLINK "http://www.yznews.com.cn/wap/2026-06/28/content_7825586.html" \t "https://chat.deepseek.com/a/chat/s/_blank" </w:instrText>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separate"/>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end"/>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。以往，气象风险难以量化评估，信贷资金对养殖户防灾减损的支持力度有限</w:t>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begin"/>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instrText xml:space="preserve"> HYPERLINK "http://www.yznews.com.cn/wap/2026-06/28/content_7825586.html" \t "https://chat.deepseek.com/a/chat/s/_blank" </w:instrText>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separate"/>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end"/>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本笔贷款发放前，扬州农商银行联合市气象局对农场所在区域近三年气象灾害发生频次、强度及生产经营关联度进行综合分析，将评估结果纳入授信模型，在有效控制信贷风险的同时，为农场提前部署防灾设施、优化养殖周期管理提供了充裕资金，切实增强了经营主体抵御气候风险的能力</w:t>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begin"/>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instrText xml:space="preserve"> HYPERLINK "http://www.yznews.com.cn/wap/2026-06/28/content_7825586.html" \t "https://chat.deepseek.com/a/chat/s/_blank" </w:instrText>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separate"/>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end"/>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w:t>
      </w:r>
    </w:p>
    <w:p>
      <w:pPr>
        <w:pageBreakBefore w:val="0"/>
        <w:widowControl/>
        <w:kinsoku w:val="0"/>
        <w:wordWrap/>
        <w:topLinePunct w:val="0"/>
        <w:autoSpaceDE w:val="0"/>
        <w:autoSpaceDN w:val="0"/>
        <w:bidi w:val="0"/>
        <w:adjustRightInd w:val="0"/>
        <w:snapToGrid w:val="0"/>
        <w:spacing w:before="149" w:beforeLines="50" w:line="240" w:lineRule="auto"/>
        <w:ind w:firstLine="480" w:firstLineChars="200"/>
        <w:textAlignment w:val="baseline"/>
        <w:outlineLvl w:val="2"/>
        <w:rPr>
          <w:rFonts w:hint="default" w:ascii="微软雅黑" w:hAnsi="微软雅黑" w:eastAsia="微软雅黑" w:cs="微软雅黑"/>
          <w:b w:val="0"/>
          <w:bCs/>
          <w:color w:val="000000" w:themeColor="text1"/>
          <w:kern w:val="2"/>
          <w:sz w:val="24"/>
          <w:szCs w:val="24"/>
          <w:lang w:val="en-US" w:eastAsia="zh-CN" w:bidi="ar-SA"/>
          <w14:textFill>
            <w14:solidFill>
              <w14:schemeClr w14:val="tx1"/>
            </w14:solidFill>
          </w14:textFill>
        </w:rPr>
      </w:pPr>
      <w:r>
        <w:rPr>
          <w:rFonts w:hint="eastAsia" w:ascii="微软雅黑" w:hAnsi="微软雅黑" w:eastAsia="微软雅黑" w:cs="微软雅黑"/>
          <w:b w:val="0"/>
          <w:bCs/>
          <w:color w:val="000000" w:themeColor="text1"/>
          <w:kern w:val="2"/>
          <w:sz w:val="24"/>
          <w:szCs w:val="24"/>
          <w:lang w:val="en-US" w:eastAsia="zh-CN" w:bidi="ar-SA"/>
          <w14:textFill>
            <w14:solidFill>
              <w14:schemeClr w14:val="tx1"/>
            </w14:solidFill>
          </w14:textFill>
        </w:rPr>
        <w:t>9.1.2</w:t>
      </w:r>
      <w:r>
        <w:rPr>
          <w:rFonts w:hint="default" w:ascii="微软雅黑" w:hAnsi="微软雅黑" w:eastAsia="微软雅黑" w:cs="微软雅黑"/>
          <w:b w:val="0"/>
          <w:bCs/>
          <w:color w:val="000000" w:themeColor="text1"/>
          <w:kern w:val="2"/>
          <w:sz w:val="24"/>
          <w:szCs w:val="24"/>
          <w:lang w:val="en-US" w:eastAsia="zh-CN" w:bidi="ar-SA"/>
          <w14:textFill>
            <w14:solidFill>
              <w14:schemeClr w14:val="tx1"/>
            </w14:solidFill>
          </w14:textFill>
        </w:rPr>
        <w:t>“光伏创收贷”：精准支持绿色生态城市建设</w:t>
      </w:r>
    </w:p>
    <w:p>
      <w:pPr>
        <w:keepNext w:val="0"/>
        <w:keepLines w:val="0"/>
        <w:pageBreakBefore w:val="0"/>
        <w:widowControl/>
        <w:kinsoku/>
        <w:wordWrap/>
        <w:overflowPunct/>
        <w:topLinePunct w:val="0"/>
        <w:autoSpaceDE w:val="0"/>
        <w:autoSpaceDN w:val="0"/>
        <w:bidi w:val="0"/>
        <w:adjustRightInd w:val="0"/>
        <w:snapToGrid w:val="0"/>
        <w:spacing w:before="149" w:beforeLines="50" w:line="240" w:lineRule="auto"/>
        <w:ind w:firstLine="504" w:firstLineChars="200"/>
        <w:textAlignment w:val="baseline"/>
        <w:outlineLvl w:val="9"/>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pP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扬州农商银行创新推出“光伏创收贷”产品，主要用于企业利用他人经营场地安装光伏发电项目，所发电量主要供给场地提供人生产经营，光伏发电产生的收益体现为实际用电方支付所用电费。上线一年多以来，累计发放36笔、发放金额3995万元，以实际行动支持扬州绿色生态城市建设，为新能源企业提供了精准的金融服务支持</w:t>
      </w:r>
    </w:p>
    <w:p>
      <w:pPr>
        <w:pageBreakBefore w:val="0"/>
        <w:widowControl/>
        <w:kinsoku w:val="0"/>
        <w:wordWrap/>
        <w:topLinePunct w:val="0"/>
        <w:autoSpaceDE w:val="0"/>
        <w:autoSpaceDN w:val="0"/>
        <w:bidi w:val="0"/>
        <w:adjustRightInd w:val="0"/>
        <w:snapToGrid w:val="0"/>
        <w:spacing w:before="149" w:beforeLines="50" w:line="240" w:lineRule="auto"/>
        <w:ind w:firstLine="480" w:firstLineChars="200"/>
        <w:textAlignment w:val="baseline"/>
        <w:outlineLvl w:val="2"/>
        <w:rPr>
          <w:rFonts w:hint="default" w:ascii="微软雅黑" w:hAnsi="微软雅黑" w:eastAsia="微软雅黑" w:cs="微软雅黑"/>
          <w:b w:val="0"/>
          <w:bCs/>
          <w:color w:val="000000" w:themeColor="text1"/>
          <w:kern w:val="2"/>
          <w:sz w:val="24"/>
          <w:szCs w:val="24"/>
          <w:lang w:val="en-US" w:eastAsia="zh-CN" w:bidi="ar-SA"/>
          <w14:textFill>
            <w14:solidFill>
              <w14:schemeClr w14:val="tx1"/>
            </w14:solidFill>
          </w14:textFill>
        </w:rPr>
      </w:pPr>
      <w:r>
        <w:rPr>
          <w:rFonts w:hint="eastAsia" w:ascii="微软雅黑" w:hAnsi="微软雅黑" w:eastAsia="微软雅黑" w:cs="微软雅黑"/>
          <w:b w:val="0"/>
          <w:bCs/>
          <w:color w:val="000000" w:themeColor="text1"/>
          <w:kern w:val="2"/>
          <w:sz w:val="24"/>
          <w:szCs w:val="24"/>
          <w:lang w:val="en-US" w:eastAsia="zh-CN" w:bidi="ar-SA"/>
          <w14:textFill>
            <w14:solidFill>
              <w14:schemeClr w14:val="tx1"/>
            </w14:solidFill>
          </w14:textFill>
        </w:rPr>
        <w:t>9.1.3</w:t>
      </w:r>
      <w:r>
        <w:rPr>
          <w:rFonts w:hint="default" w:ascii="微软雅黑" w:hAnsi="微软雅黑" w:eastAsia="微软雅黑" w:cs="微软雅黑"/>
          <w:b w:val="0"/>
          <w:bCs/>
          <w:color w:val="000000" w:themeColor="text1"/>
          <w:kern w:val="2"/>
          <w:sz w:val="24"/>
          <w:szCs w:val="24"/>
          <w:lang w:val="en-US" w:eastAsia="zh-CN" w:bidi="ar-SA"/>
          <w14:textFill>
            <w14:solidFill>
              <w14:schemeClr w14:val="tx1"/>
            </w14:solidFill>
          </w14:textFill>
        </w:rPr>
        <w:t>绿色交通专项贷款：助力城市公交新能源化</w:t>
      </w:r>
    </w:p>
    <w:p>
      <w:pPr>
        <w:keepNext w:val="0"/>
        <w:keepLines w:val="0"/>
        <w:pageBreakBefore w:val="0"/>
        <w:widowControl/>
        <w:kinsoku/>
        <w:wordWrap/>
        <w:overflowPunct/>
        <w:topLinePunct w:val="0"/>
        <w:autoSpaceDE w:val="0"/>
        <w:autoSpaceDN w:val="0"/>
        <w:bidi w:val="0"/>
        <w:adjustRightInd w:val="0"/>
        <w:snapToGrid w:val="0"/>
        <w:spacing w:before="149" w:beforeLines="50" w:line="240" w:lineRule="auto"/>
        <w:ind w:firstLine="504" w:firstLineChars="200"/>
        <w:textAlignment w:val="baseline"/>
        <w:outlineLvl w:val="9"/>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pP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本行向扬州市某交通集团精准投放绿色车辆置换贷款3000万元，贷款年利率低至2.6%。该交通集团营运公交车超2500辆，运营公交线路近200条，线路总长度约4000公里，年客运量达12000万人次。截至目前，该集团新能源及清洁能源公交车辆保有量达2310辆，公交车辆新能源渗透率高达92.4%，基本实现城市核心区域公交全覆盖绿色运营。大批量新能源公交车辆投入使用，大幅降低了城市交通尾气排放，有效减少大气污染、降低城市碳排放量，显著改善城区空气质量与人居环境。本行严格落实绿色贷款专款专用机制，全程跟踪资金流向，确保贷款资金全部用于老旧燃油公交淘汰、新能源公交采购及配套设施升级，切实提升绿色金融资源利用效率。</w:t>
      </w:r>
    </w:p>
    <w:p>
      <w:pPr>
        <w:pStyle w:val="2"/>
        <w:keepNext w:val="0"/>
        <w:keepLines w:val="0"/>
        <w:pageBreakBefore w:val="0"/>
        <w:widowControl w:val="0"/>
        <w:kinsoku/>
        <w:wordWrap/>
        <w:overflowPunct/>
        <w:topLinePunct w:val="0"/>
        <w:autoSpaceDE/>
        <w:autoSpaceDN/>
        <w:bidi w:val="0"/>
        <w:adjustRightInd/>
        <w:snapToGrid/>
        <w:spacing w:after="0" w:line="240" w:lineRule="auto"/>
        <w:textAlignment w:val="auto"/>
        <w:rPr>
          <w:rFonts w:hint="eastAsia" w:ascii="仿宋" w:hAnsi="仿宋" w:eastAsia="仿宋" w:cs="仿宋"/>
          <w:b w:val="0"/>
          <w:bCs/>
          <w:snapToGrid w:val="0"/>
          <w:color w:val="auto"/>
          <w:spacing w:val="6"/>
          <w:kern w:val="0"/>
          <w:sz w:val="18"/>
          <w:szCs w:val="18"/>
          <w:lang w:val="en-US" w:eastAsia="zh-CN" w:bidi="ar-SA"/>
        </w:rPr>
      </w:pPr>
      <w:bookmarkStart w:id="44" w:name="_Toc5041"/>
    </w:p>
    <w:p>
      <w:pPr>
        <w:keepNext w:val="0"/>
        <w:keepLines w:val="0"/>
        <w:pageBreakBefore w:val="0"/>
        <w:widowControl/>
        <w:numPr>
          <w:ilvl w:val="0"/>
          <w:numId w:val="0"/>
        </w:numPr>
        <w:kinsoku/>
        <w:wordWrap/>
        <w:overflowPunct/>
        <w:topLinePunct w:val="0"/>
        <w:autoSpaceDE w:val="0"/>
        <w:autoSpaceDN w:val="0"/>
        <w:bidi w:val="0"/>
        <w:adjustRightInd w:val="0"/>
        <w:snapToGrid w:val="0"/>
        <w:spacing w:before="149" w:beforeLines="50" w:line="240" w:lineRule="auto"/>
        <w:ind w:left="0" w:leftChars="0" w:firstLine="0" w:firstLineChars="0"/>
        <w:textAlignment w:val="baseline"/>
        <w:outlineLvl w:val="0"/>
        <w:rPr>
          <w:rFonts w:hint="eastAsia" w:ascii="微软雅黑" w:hAnsi="微软雅黑" w:eastAsia="微软雅黑" w:cs="微软雅黑"/>
          <w:b w:val="0"/>
          <w:bCs/>
          <w:color w:val="000000" w:themeColor="text1"/>
          <w:kern w:val="2"/>
          <w:sz w:val="28"/>
          <w:szCs w:val="28"/>
          <w:lang w:val="en-US" w:eastAsia="zh-CN" w:bidi="ar-SA"/>
          <w14:textFill>
            <w14:solidFill>
              <w14:schemeClr w14:val="tx1"/>
            </w14:solidFill>
          </w14:textFill>
        </w:rPr>
      </w:pPr>
      <w:r>
        <w:rPr>
          <w:rFonts w:hint="eastAsia" w:ascii="微软雅黑" w:hAnsi="微软雅黑" w:eastAsia="微软雅黑" w:cs="微软雅黑"/>
          <w:b w:val="0"/>
          <w:bCs/>
          <w:color w:val="000000" w:themeColor="text1"/>
          <w:kern w:val="2"/>
          <w:sz w:val="28"/>
          <w:szCs w:val="28"/>
          <w:lang w:val="en-US" w:eastAsia="zh-CN" w:bidi="ar-SA"/>
          <w14:textFill>
            <w14:solidFill>
              <w14:schemeClr w14:val="tx1"/>
            </w14:solidFill>
          </w14:textFill>
        </w:rPr>
        <w:t>9.2 创新研究与奖项</w:t>
      </w:r>
      <w:bookmarkEnd w:id="44"/>
    </w:p>
    <w:p>
      <w:pPr>
        <w:pageBreakBefore w:val="0"/>
        <w:widowControl/>
        <w:kinsoku w:val="0"/>
        <w:wordWrap/>
        <w:topLinePunct w:val="0"/>
        <w:autoSpaceDE w:val="0"/>
        <w:autoSpaceDN w:val="0"/>
        <w:bidi w:val="0"/>
        <w:adjustRightInd w:val="0"/>
        <w:snapToGrid w:val="0"/>
        <w:spacing w:before="149" w:beforeLines="50" w:line="240" w:lineRule="auto"/>
        <w:ind w:firstLine="480" w:firstLineChars="200"/>
        <w:textAlignment w:val="baseline"/>
        <w:outlineLvl w:val="2"/>
        <w:rPr>
          <w:rFonts w:hint="eastAsia" w:ascii="微软雅黑" w:hAnsi="微软雅黑" w:eastAsia="微软雅黑" w:cs="微软雅黑"/>
          <w:b w:val="0"/>
          <w:bCs/>
          <w:color w:val="000000" w:themeColor="text1"/>
          <w:kern w:val="2"/>
          <w:sz w:val="24"/>
          <w:szCs w:val="24"/>
          <w:lang w:val="en-US" w:eastAsia="zh-CN" w:bidi="ar-SA"/>
          <w14:textFill>
            <w14:solidFill>
              <w14:schemeClr w14:val="tx1"/>
            </w14:solidFill>
          </w14:textFill>
        </w:rPr>
      </w:pPr>
      <w:r>
        <w:rPr>
          <w:rFonts w:hint="eastAsia" w:ascii="微软雅黑" w:hAnsi="微软雅黑" w:eastAsia="微软雅黑" w:cs="微软雅黑"/>
          <w:b w:val="0"/>
          <w:bCs/>
          <w:color w:val="000000" w:themeColor="text1"/>
          <w:kern w:val="2"/>
          <w:sz w:val="24"/>
          <w:szCs w:val="24"/>
          <w:lang w:val="en-US" w:eastAsia="zh-CN" w:bidi="ar-SA"/>
          <w14:textFill>
            <w14:solidFill>
              <w14:schemeClr w14:val="tx1"/>
            </w14:solidFill>
          </w14:textFill>
        </w:rPr>
        <w:t>9.2.1绿色金融研究:</w:t>
      </w:r>
    </w:p>
    <w:p>
      <w:pPr>
        <w:keepNext w:val="0"/>
        <w:keepLines w:val="0"/>
        <w:pageBreakBefore w:val="0"/>
        <w:widowControl/>
        <w:kinsoku/>
        <w:wordWrap/>
        <w:overflowPunct/>
        <w:topLinePunct w:val="0"/>
        <w:autoSpaceDE w:val="0"/>
        <w:autoSpaceDN w:val="0"/>
        <w:bidi w:val="0"/>
        <w:adjustRightInd w:val="0"/>
        <w:snapToGrid w:val="0"/>
        <w:spacing w:before="149" w:beforeLines="50" w:line="240" w:lineRule="auto"/>
        <w:ind w:firstLine="504" w:firstLineChars="200"/>
        <w:textAlignment w:val="baseline"/>
        <w:outlineLvl w:val="3"/>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pPr>
      <w:r>
        <w:rPr>
          <w:rFonts w:hint="eastAsia"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（1）</w:t>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气候风险领域实践探索</w:t>
      </w:r>
    </w:p>
    <w:p>
      <w:pPr>
        <w:keepNext w:val="0"/>
        <w:keepLines w:val="0"/>
        <w:pageBreakBefore w:val="0"/>
        <w:widowControl/>
        <w:kinsoku/>
        <w:wordWrap/>
        <w:overflowPunct/>
        <w:topLinePunct w:val="0"/>
        <w:autoSpaceDE w:val="0"/>
        <w:autoSpaceDN w:val="0"/>
        <w:bidi w:val="0"/>
        <w:adjustRightInd w:val="0"/>
        <w:snapToGrid w:val="0"/>
        <w:spacing w:before="149" w:beforeLines="50" w:line="240" w:lineRule="auto"/>
        <w:ind w:firstLine="504" w:firstLineChars="200"/>
        <w:textAlignment w:val="baseline"/>
        <w:outlineLvl w:val="9"/>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pP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本行在气候风险管理方面开展了积极的前沿探索</w:t>
      </w:r>
      <w:r>
        <w:rPr>
          <w:rFonts w:hint="eastAsia"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w:t>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本行成功落地“气象贷”业务，标志着气象“冷数据”转化为金融授信的“活信用”迈出了实质性一步。</w:t>
      </w:r>
    </w:p>
    <w:p>
      <w:pPr>
        <w:keepNext w:val="0"/>
        <w:keepLines w:val="0"/>
        <w:pageBreakBefore w:val="0"/>
        <w:widowControl/>
        <w:kinsoku/>
        <w:wordWrap/>
        <w:overflowPunct/>
        <w:topLinePunct w:val="0"/>
        <w:autoSpaceDE w:val="0"/>
        <w:autoSpaceDN w:val="0"/>
        <w:bidi w:val="0"/>
        <w:adjustRightInd w:val="0"/>
        <w:snapToGrid w:val="0"/>
        <w:spacing w:before="149" w:beforeLines="50" w:line="240" w:lineRule="auto"/>
        <w:ind w:firstLine="504" w:firstLineChars="200"/>
        <w:textAlignment w:val="baseline"/>
        <w:outlineLvl w:val="9"/>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pP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在业务落地过程中，本行联合市气象局对农场所在区域近三年气象灾害发生频次、强度及生产经营关联度进行综合分析，将评估结果纳入授信模型。该产品聚焦农业生产和产业经营中各类气候风险防控，依托气象部门提供的灾害风险评估、气候可行性论证等权威数据，将气象要素纳入贷前审查、贷中审批及贷后管理全流程，对气候友好型涉农项目和小微经营主体给予差异化利率优惠和高效审批通道。</w:t>
      </w:r>
    </w:p>
    <w:p>
      <w:pPr>
        <w:keepNext w:val="0"/>
        <w:keepLines w:val="0"/>
        <w:pageBreakBefore w:val="0"/>
        <w:widowControl/>
        <w:kinsoku/>
        <w:wordWrap/>
        <w:overflowPunct/>
        <w:topLinePunct w:val="0"/>
        <w:autoSpaceDE w:val="0"/>
        <w:autoSpaceDN w:val="0"/>
        <w:bidi w:val="0"/>
        <w:adjustRightInd w:val="0"/>
        <w:snapToGrid w:val="0"/>
        <w:spacing w:before="149" w:beforeLines="50" w:line="240" w:lineRule="auto"/>
        <w:ind w:firstLine="504" w:firstLineChars="200"/>
        <w:textAlignment w:val="baseline"/>
        <w:outlineLvl w:val="9"/>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pP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扬州市气象局已率气象服务中心专家团队莅临本行，就联合研发适配扬州本土产业特点的气象特色信贷产品、构建气象风险预警联动机制开展专题研讨。上述实践为本行积累气候风险评估方法与数据应用经验、探索气候风险量化管理路径提供了重要的实践基础。</w:t>
      </w:r>
    </w:p>
    <w:p>
      <w:pPr>
        <w:keepNext w:val="0"/>
        <w:keepLines w:val="0"/>
        <w:pageBreakBefore w:val="0"/>
        <w:widowControl/>
        <w:kinsoku/>
        <w:wordWrap/>
        <w:overflowPunct/>
        <w:topLinePunct w:val="0"/>
        <w:autoSpaceDE w:val="0"/>
        <w:autoSpaceDN w:val="0"/>
        <w:bidi w:val="0"/>
        <w:adjustRightInd w:val="0"/>
        <w:snapToGrid w:val="0"/>
        <w:spacing w:before="149" w:beforeLines="50" w:line="240" w:lineRule="auto"/>
        <w:ind w:firstLine="504" w:firstLineChars="200"/>
        <w:textAlignment w:val="baseline"/>
        <w:outlineLvl w:val="3"/>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pPr>
      <w:r>
        <w:rPr>
          <w:rFonts w:hint="eastAsia"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（2）</w:t>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碳核算领域实践应用</w:t>
      </w:r>
    </w:p>
    <w:p>
      <w:pPr>
        <w:keepNext w:val="0"/>
        <w:keepLines w:val="0"/>
        <w:pageBreakBefore w:val="0"/>
        <w:widowControl/>
        <w:kinsoku/>
        <w:wordWrap/>
        <w:overflowPunct/>
        <w:topLinePunct w:val="0"/>
        <w:autoSpaceDE w:val="0"/>
        <w:autoSpaceDN w:val="0"/>
        <w:bidi w:val="0"/>
        <w:adjustRightInd w:val="0"/>
        <w:snapToGrid w:val="0"/>
        <w:spacing w:before="149" w:beforeLines="50" w:line="240" w:lineRule="auto"/>
        <w:ind w:firstLine="504" w:firstLineChars="200"/>
        <w:textAlignment w:val="baseline"/>
        <w:outlineLvl w:val="9"/>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pP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在碳核算领域，本行严格遵循监管要求开展投融资活动碳排放测算与披露工作。报告年度内，本行依据《金融机构环境信息披露指南》（JR/T0227-2021）、《金融机构碳核算技术指南（试行）》（银办发〔2021〕119号）和《江苏省银行业金融机构环境信息披露指引（试行）》（苏银发〔2024〕49号）的要求进行核算编制。</w:t>
      </w:r>
    </w:p>
    <w:p>
      <w:pPr>
        <w:keepNext w:val="0"/>
        <w:keepLines w:val="0"/>
        <w:pageBreakBefore w:val="0"/>
        <w:widowControl/>
        <w:kinsoku/>
        <w:wordWrap/>
        <w:overflowPunct/>
        <w:topLinePunct w:val="0"/>
        <w:autoSpaceDE w:val="0"/>
        <w:autoSpaceDN w:val="0"/>
        <w:bidi w:val="0"/>
        <w:adjustRightInd w:val="0"/>
        <w:snapToGrid w:val="0"/>
        <w:spacing w:before="149" w:beforeLines="50" w:line="240" w:lineRule="auto"/>
        <w:ind w:firstLine="504" w:firstLineChars="200"/>
        <w:textAlignment w:val="baseline"/>
        <w:outlineLvl w:val="9"/>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pP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本行积极对接当地生态环境局、农业农村局、大数据公司等单位，整合企业征信、排污许可、能源消耗等数据源，共同探索环境信息披露相关平台建设。通过上述工作，本行在碳核算数据采集、模型构建、信息披露等方面积累了可复用的方法论与实践经验。</w:t>
      </w:r>
    </w:p>
    <w:p>
      <w:pPr>
        <w:keepNext w:val="0"/>
        <w:keepLines w:val="0"/>
        <w:pageBreakBefore w:val="0"/>
        <w:widowControl/>
        <w:kinsoku/>
        <w:wordWrap/>
        <w:overflowPunct/>
        <w:topLinePunct w:val="0"/>
        <w:autoSpaceDE w:val="0"/>
        <w:autoSpaceDN w:val="0"/>
        <w:bidi w:val="0"/>
        <w:adjustRightInd w:val="0"/>
        <w:snapToGrid w:val="0"/>
        <w:spacing w:before="149" w:beforeLines="50" w:line="240" w:lineRule="auto"/>
        <w:ind w:firstLine="504" w:firstLineChars="200"/>
        <w:textAlignment w:val="baseline"/>
        <w:outlineLvl w:val="3"/>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pPr>
      <w:r>
        <w:rPr>
          <w:rFonts w:hint="eastAsia"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（3）</w:t>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绿色金融领域案例研究与行业交流</w:t>
      </w:r>
    </w:p>
    <w:p>
      <w:pPr>
        <w:keepNext w:val="0"/>
        <w:keepLines w:val="0"/>
        <w:pageBreakBefore w:val="0"/>
        <w:widowControl/>
        <w:kinsoku/>
        <w:wordWrap/>
        <w:overflowPunct/>
        <w:topLinePunct w:val="0"/>
        <w:autoSpaceDE w:val="0"/>
        <w:autoSpaceDN w:val="0"/>
        <w:bidi w:val="0"/>
        <w:adjustRightInd w:val="0"/>
        <w:snapToGrid w:val="0"/>
        <w:spacing w:before="149" w:beforeLines="50" w:line="240" w:lineRule="auto"/>
        <w:ind w:firstLine="504" w:firstLineChars="200"/>
        <w:textAlignment w:val="baseline"/>
        <w:outlineLvl w:val="9"/>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pP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本行绿色金融实践多次获行业媒体关注与报道。2025年2月14日，《现代快报》专题报道了本行充分发挥农村金融主力军、乡村振兴主办行作用，在绿色金融领域深度谋划、长远布局，积极创新绿色金融产品、加大绿色信贷投放、持续提升绿色金融服务质效的实践成效。《中华合作时报》等媒体也对本行“环保贷”“绿色科技小额贷”、绿色供应链金融等创新产品进行了专题报道。</w:t>
      </w:r>
    </w:p>
    <w:p>
      <w:pPr>
        <w:keepNext w:val="0"/>
        <w:keepLines w:val="0"/>
        <w:pageBreakBefore w:val="0"/>
        <w:widowControl/>
        <w:kinsoku/>
        <w:wordWrap/>
        <w:overflowPunct/>
        <w:topLinePunct w:val="0"/>
        <w:autoSpaceDE w:val="0"/>
        <w:autoSpaceDN w:val="0"/>
        <w:bidi w:val="0"/>
        <w:adjustRightInd w:val="0"/>
        <w:snapToGrid w:val="0"/>
        <w:spacing w:before="149" w:beforeLines="50" w:line="240" w:lineRule="auto"/>
        <w:ind w:firstLine="504" w:firstLineChars="200"/>
        <w:textAlignment w:val="baseline"/>
        <w:outlineLvl w:val="9"/>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pP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在绿色金融领域，本行还积极参与行业研究与交流。本行根据江苏省联社提出的绿色金融发展工作指导意见，研究制定出台绿色信贷授信政策指引和管理办法。本行董事会下设绿色金融委员会，制定绿色金融委员会工作制度和绿色金融三年战略规划，从顶层设计、治理角度、制度层面等逐步完善并积极推进。上述制度设计与实践探索，为农村商业银行绿色金融发展提供了可参考的样本。</w:t>
      </w:r>
    </w:p>
    <w:p>
      <w:pPr>
        <w:pageBreakBefore w:val="0"/>
        <w:widowControl/>
        <w:kinsoku w:val="0"/>
        <w:wordWrap/>
        <w:topLinePunct w:val="0"/>
        <w:autoSpaceDE w:val="0"/>
        <w:autoSpaceDN w:val="0"/>
        <w:bidi w:val="0"/>
        <w:adjustRightInd w:val="0"/>
        <w:snapToGrid w:val="0"/>
        <w:spacing w:before="149" w:beforeLines="50" w:line="240" w:lineRule="auto"/>
        <w:ind w:firstLine="480" w:firstLineChars="200"/>
        <w:textAlignment w:val="baseline"/>
        <w:outlineLvl w:val="2"/>
        <w:rPr>
          <w:rFonts w:hint="eastAsia" w:ascii="微软雅黑" w:hAnsi="微软雅黑" w:eastAsia="微软雅黑" w:cs="微软雅黑"/>
          <w:b w:val="0"/>
          <w:bCs/>
          <w:color w:val="000000" w:themeColor="text1"/>
          <w:kern w:val="2"/>
          <w:sz w:val="24"/>
          <w:szCs w:val="24"/>
          <w:lang w:val="en-US" w:eastAsia="zh-CN" w:bidi="ar-SA"/>
          <w14:textFill>
            <w14:solidFill>
              <w14:schemeClr w14:val="tx1"/>
            </w14:solidFill>
          </w14:textFill>
        </w:rPr>
      </w:pPr>
      <w:r>
        <w:rPr>
          <w:rFonts w:hint="eastAsia" w:ascii="微软雅黑" w:hAnsi="微软雅黑" w:eastAsia="微软雅黑" w:cs="微软雅黑"/>
          <w:b w:val="0"/>
          <w:bCs/>
          <w:color w:val="000000" w:themeColor="text1"/>
          <w:kern w:val="2"/>
          <w:sz w:val="24"/>
          <w:szCs w:val="24"/>
          <w:lang w:val="en-US" w:eastAsia="zh-CN" w:bidi="ar-SA"/>
          <w14:textFill>
            <w14:solidFill>
              <w14:schemeClr w14:val="tx1"/>
            </w14:solidFill>
          </w14:textFill>
        </w:rPr>
        <w:t>9.2.2绿色金融奖项:</w:t>
      </w:r>
    </w:p>
    <w:p>
      <w:pPr>
        <w:keepNext w:val="0"/>
        <w:keepLines w:val="0"/>
        <w:pageBreakBefore w:val="0"/>
        <w:widowControl/>
        <w:kinsoku/>
        <w:wordWrap/>
        <w:overflowPunct/>
        <w:topLinePunct w:val="0"/>
        <w:autoSpaceDE w:val="0"/>
        <w:autoSpaceDN w:val="0"/>
        <w:bidi w:val="0"/>
        <w:adjustRightInd w:val="0"/>
        <w:snapToGrid w:val="0"/>
        <w:spacing w:before="149" w:beforeLines="50" w:line="240" w:lineRule="auto"/>
        <w:ind w:firstLine="504" w:firstLineChars="200"/>
        <w:textAlignment w:val="baseline"/>
        <w:outlineLvl w:val="3"/>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pP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w:t>
      </w:r>
      <w:r>
        <w:rPr>
          <w:rFonts w:hint="eastAsia"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1</w:t>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）江苏省银行业协会“普惠之星”称号</w:t>
      </w:r>
    </w:p>
    <w:p>
      <w:pPr>
        <w:keepNext w:val="0"/>
        <w:keepLines w:val="0"/>
        <w:pageBreakBefore w:val="0"/>
        <w:widowControl/>
        <w:kinsoku/>
        <w:wordWrap/>
        <w:overflowPunct/>
        <w:topLinePunct w:val="0"/>
        <w:autoSpaceDE w:val="0"/>
        <w:autoSpaceDN w:val="0"/>
        <w:bidi w:val="0"/>
        <w:adjustRightInd w:val="0"/>
        <w:snapToGrid w:val="0"/>
        <w:spacing w:before="149" w:beforeLines="50" w:line="240" w:lineRule="auto"/>
        <w:ind w:firstLine="504" w:firstLineChars="200"/>
        <w:textAlignment w:val="baseline"/>
        <w:outlineLvl w:val="9"/>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pP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2025年2月，江苏省银行业协会公布第二届“普惠之星”“普惠明星”展示交流宣传活动结果，扬州农商银行普惠金融部荣获“普惠之星”称号。这是本行连续第二年获得此项荣誉</w:t>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begin"/>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instrText xml:space="preserve"> HYPERLINK "http://www.dwjy.com/allnews/145120.html" \t "https://chat.deepseek.com/a/chat/s/_blank" </w:instrText>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separate"/>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end"/>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该荣誉体现了本行在普惠金融与绿色金融融合发展方面的突出成效。本行积极发挥点多面广、人熟地熟情况熟的资源禀赋优势，充分运用“网格化+铁脚板+大数据”模式，将主要业务资源投入地方经济重点领域和薄弱环节，聚焦绿色产业、科创企业、新型农业经营主体等客群，持续加大绿色信贷投放力度</w:t>
      </w:r>
    </w:p>
    <w:p>
      <w:pPr>
        <w:keepNext w:val="0"/>
        <w:keepLines w:val="0"/>
        <w:pageBreakBefore w:val="0"/>
        <w:widowControl/>
        <w:kinsoku/>
        <w:wordWrap/>
        <w:overflowPunct/>
        <w:topLinePunct w:val="0"/>
        <w:autoSpaceDE w:val="0"/>
        <w:autoSpaceDN w:val="0"/>
        <w:bidi w:val="0"/>
        <w:adjustRightInd w:val="0"/>
        <w:snapToGrid w:val="0"/>
        <w:spacing w:before="149" w:beforeLines="50" w:line="240" w:lineRule="auto"/>
        <w:ind w:firstLine="504" w:firstLineChars="200"/>
        <w:textAlignment w:val="baseline"/>
        <w:outlineLvl w:val="3"/>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pP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w:t>
      </w:r>
      <w:r>
        <w:rPr>
          <w:rFonts w:hint="eastAsia"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2</w:t>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）杭集支行“牙刷产业特色经营网点”</w:t>
      </w:r>
    </w:p>
    <w:p>
      <w:pPr>
        <w:keepNext w:val="0"/>
        <w:keepLines w:val="0"/>
        <w:pageBreakBefore w:val="0"/>
        <w:widowControl/>
        <w:kinsoku/>
        <w:wordWrap/>
        <w:overflowPunct/>
        <w:topLinePunct w:val="0"/>
        <w:autoSpaceDE w:val="0"/>
        <w:autoSpaceDN w:val="0"/>
        <w:bidi w:val="0"/>
        <w:adjustRightInd w:val="0"/>
        <w:snapToGrid w:val="0"/>
        <w:spacing w:before="149" w:beforeLines="50" w:line="240" w:lineRule="auto"/>
        <w:ind w:firstLine="504" w:firstLineChars="200"/>
        <w:textAlignment w:val="baseline"/>
        <w:outlineLvl w:val="9"/>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pP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本行杭集支行获评“牙刷产业特色经营网点”</w:t>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begin"/>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instrText xml:space="preserve"> HYPERLINK "http://www.yznsh.net/yzrcb/625632/625748/1319965/%e6%b1%9f%e8%8b%8f%e6%89%ac%e5%b7%9e%e5%86%9c%e6%9d%91%e5%95%86%e4%b8%9a%e9%93%b6%e8%a1%8c%e8%82%a1%e4%bb%bd%e6%9c%89%e9%99%90%e5%85%ac%e5%8f%b82025%e5%b9%b4%e5%ba%a6%e6%8a%a5%e5%91%8a.pdf" \l "29#1" \t "https://chat.deepseek.com/a/chat/s/_blank" </w:instrText>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separate"/>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end"/>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。2026年1月，杭集牙刷特色支行正式揭牌，与会领导同步为绿色金融实验室揭牌，标志着本行在特色产业绿色转型领域迈出了坚实一步</w:t>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begin"/>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instrText xml:space="preserve"> HYPERLINK "http://stkjxc.yangzhou.gov.cn/xwzx/xcyw/art/2026/art_a63f137aa8a9493581efb63b5599ac10.html" \t "https://chat.deepseek.com/a/chat/s/_blank" </w:instrText>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separate"/>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end"/>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。杭集高新区共有牙刷及配套企业4000余家，年产量超75亿支，国内市场占有率超80%，产品远销全球80多个国家和地区</w:t>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begin"/>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instrText xml:space="preserve"> HYPERLINK "http://stkjxc.yangzhou.gov.cn/xwzx/xcyw/art/2026/art_a63f137aa8a9493581efb63b5599ac10.html" \t "https://chat.deepseek.com/a/chat/s/_blank" </w:instrText>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separate"/>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end"/>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。杭集支行作为扎根基层、服务地方的金融机构，长期为杭集特色产业发展提供金融服务，持续赋能实体经济</w:t>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begin"/>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instrText xml:space="preserve"> HYPERLINK "http://stkjxc.yangzhou.gov.cn/xwzx/xcyw/art/2026/art_a63f137aa8a9493581efb63b5599ac10.html" \t "https://chat.deepseek.com/a/chat/s/_blank" </w:instrText>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separate"/>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end"/>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w:t>
      </w:r>
    </w:p>
    <w:p>
      <w:pPr>
        <w:keepNext w:val="0"/>
        <w:keepLines w:val="0"/>
        <w:pageBreakBefore w:val="0"/>
        <w:widowControl/>
        <w:kinsoku/>
        <w:wordWrap/>
        <w:overflowPunct/>
        <w:topLinePunct w:val="0"/>
        <w:autoSpaceDE w:val="0"/>
        <w:autoSpaceDN w:val="0"/>
        <w:bidi w:val="0"/>
        <w:adjustRightInd w:val="0"/>
        <w:snapToGrid w:val="0"/>
        <w:spacing w:before="149" w:beforeLines="50" w:line="240" w:lineRule="auto"/>
        <w:ind w:firstLine="504" w:firstLineChars="200"/>
        <w:textAlignment w:val="baseline"/>
        <w:outlineLvl w:val="3"/>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pP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w:t>
      </w:r>
      <w:r>
        <w:rPr>
          <w:rFonts w:hint="eastAsia"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3</w:t>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）市级科技金融特色网点及省级特色支行</w:t>
      </w:r>
    </w:p>
    <w:p>
      <w:pPr>
        <w:keepNext w:val="0"/>
        <w:keepLines w:val="0"/>
        <w:pageBreakBefore w:val="0"/>
        <w:widowControl/>
        <w:kinsoku/>
        <w:wordWrap/>
        <w:overflowPunct/>
        <w:topLinePunct w:val="0"/>
        <w:autoSpaceDE w:val="0"/>
        <w:autoSpaceDN w:val="0"/>
        <w:bidi w:val="0"/>
        <w:adjustRightInd w:val="0"/>
        <w:snapToGrid w:val="0"/>
        <w:spacing w:before="149" w:beforeLines="50" w:line="240" w:lineRule="auto"/>
        <w:ind w:firstLine="504" w:firstLineChars="200"/>
        <w:textAlignment w:val="baseline"/>
        <w:outlineLvl w:val="9"/>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pP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本行获评市级科技金融特色网点及省级特色支行</w:t>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begin"/>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instrText xml:space="preserve"> HYPERLINK "http://stkjxc.yangzhou.gov.cn/xwzx/xcyw/art/2026/art_a63f137aa8a9493581efb63b5599ac10.html" \t "https://chat.deepseek.com/a/chat/s/_blank" </w:instrText>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separate"/>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end"/>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。上述荣誉充分体现了本行在科技金融与绿色金融融合发展方面的综合实力。</w:t>
      </w:r>
    </w:p>
    <w:p>
      <w:pPr>
        <w:pageBreakBefore w:val="0"/>
        <w:widowControl/>
        <w:kinsoku w:val="0"/>
        <w:wordWrap/>
        <w:topLinePunct w:val="0"/>
        <w:autoSpaceDE w:val="0"/>
        <w:autoSpaceDN w:val="0"/>
        <w:bidi w:val="0"/>
        <w:adjustRightInd w:val="0"/>
        <w:snapToGrid w:val="0"/>
        <w:spacing w:before="149" w:beforeLines="50" w:line="240" w:lineRule="auto"/>
        <w:ind w:firstLine="480" w:firstLineChars="200"/>
        <w:textAlignment w:val="baseline"/>
        <w:outlineLvl w:val="2"/>
        <w:rPr>
          <w:rFonts w:hint="eastAsia" w:ascii="微软雅黑" w:hAnsi="微软雅黑" w:eastAsia="微软雅黑" w:cs="微软雅黑"/>
          <w:b w:val="0"/>
          <w:bCs/>
          <w:color w:val="000000" w:themeColor="text1"/>
          <w:kern w:val="2"/>
          <w:sz w:val="24"/>
          <w:szCs w:val="24"/>
          <w:lang w:val="en-US" w:eastAsia="zh-CN" w:bidi="ar-SA"/>
          <w14:textFill>
            <w14:solidFill>
              <w14:schemeClr w14:val="tx1"/>
            </w14:solidFill>
          </w14:textFill>
        </w:rPr>
      </w:pPr>
      <w:r>
        <w:rPr>
          <w:rFonts w:hint="eastAsia" w:ascii="微软雅黑" w:hAnsi="微软雅黑" w:eastAsia="微软雅黑" w:cs="微软雅黑"/>
          <w:b w:val="0"/>
          <w:bCs/>
          <w:color w:val="000000" w:themeColor="text1"/>
          <w:kern w:val="2"/>
          <w:sz w:val="24"/>
          <w:szCs w:val="24"/>
          <w:lang w:val="en-US" w:eastAsia="zh-CN" w:bidi="ar-SA"/>
          <w14:textFill>
            <w14:solidFill>
              <w14:schemeClr w14:val="tx1"/>
            </w14:solidFill>
          </w14:textFill>
        </w:rPr>
        <w:t>9.2.3被投企业环境绩效督促:</w:t>
      </w:r>
    </w:p>
    <w:p>
      <w:pPr>
        <w:keepNext w:val="0"/>
        <w:keepLines w:val="0"/>
        <w:pageBreakBefore w:val="0"/>
        <w:widowControl/>
        <w:kinsoku/>
        <w:wordWrap/>
        <w:overflowPunct/>
        <w:topLinePunct w:val="0"/>
        <w:autoSpaceDE w:val="0"/>
        <w:autoSpaceDN w:val="0"/>
        <w:bidi w:val="0"/>
        <w:adjustRightInd w:val="0"/>
        <w:snapToGrid w:val="0"/>
        <w:spacing w:before="149" w:beforeLines="50" w:line="240" w:lineRule="auto"/>
        <w:ind w:firstLine="504" w:firstLineChars="200"/>
        <w:textAlignment w:val="baseline"/>
        <w:outlineLvl w:val="3"/>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pPr>
      <w:r>
        <w:rPr>
          <w:rFonts w:hint="eastAsia"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（1）</w:t>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建立环境风险管理制度与约束机制</w:t>
      </w:r>
    </w:p>
    <w:p>
      <w:pPr>
        <w:keepNext w:val="0"/>
        <w:keepLines w:val="0"/>
        <w:pageBreakBefore w:val="0"/>
        <w:widowControl/>
        <w:kinsoku/>
        <w:wordWrap/>
        <w:overflowPunct/>
        <w:topLinePunct w:val="0"/>
        <w:autoSpaceDE w:val="0"/>
        <w:autoSpaceDN w:val="0"/>
        <w:bidi w:val="0"/>
        <w:adjustRightInd w:val="0"/>
        <w:snapToGrid w:val="0"/>
        <w:spacing w:before="149" w:beforeLines="50" w:line="240" w:lineRule="auto"/>
        <w:ind w:firstLine="504" w:firstLineChars="200"/>
        <w:textAlignment w:val="baseline"/>
        <w:outlineLvl w:val="9"/>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pP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本行已制定并实施了多项与环境、绿色金融相关的内部政策，包括《绿色信贷管理政策》《绿色信贷统计制度》《环境风险管理制度》等</w:t>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begin"/>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instrText xml:space="preserve"> HYPERLINK "http://www.yznsh.net/yzrcb/625632/625752/1175480/2024101016571940314.docx" \l "3#2" \t "https://chat.deepseek.com/a/chat/s/_blank" </w:instrText>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separate"/>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end"/>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。在信贷业务中，本行强化对客户环保依法合规情况的调查，实行环保一票否决制，对存在重大环境和社会风险的客户实行名单制管理。本行将节能环保作为客户评级、信贷准入、授信管理及业务退出的重要依据</w:t>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begin"/>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instrText xml:space="preserve"> HYPERLINK "http://www.yznsh.net/yzrcb/625632/625748/1051899/2023061610564987311.pdf" \l "2#2" \t "https://chat.deepseek.com/a/chat/s/_blank" </w:instrText>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separate"/>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end"/>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，通过风险预警系统对存在环保问题的客户进行预警提示，并采取有针对性的控制或缓释措施。对于“两高一剩”及未通过环评审批的项目，本行严格限制准入并逐步压缩退出。</w:t>
      </w:r>
    </w:p>
    <w:p>
      <w:pPr>
        <w:keepNext w:val="0"/>
        <w:keepLines w:val="0"/>
        <w:pageBreakBefore w:val="0"/>
        <w:widowControl/>
        <w:kinsoku/>
        <w:wordWrap/>
        <w:overflowPunct/>
        <w:topLinePunct w:val="0"/>
        <w:autoSpaceDE w:val="0"/>
        <w:autoSpaceDN w:val="0"/>
        <w:bidi w:val="0"/>
        <w:adjustRightInd w:val="0"/>
        <w:snapToGrid w:val="0"/>
        <w:spacing w:before="149" w:beforeLines="50" w:line="240" w:lineRule="auto"/>
        <w:ind w:firstLine="504" w:firstLineChars="200"/>
        <w:textAlignment w:val="baseline"/>
        <w:outlineLvl w:val="3"/>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pPr>
      <w:r>
        <w:rPr>
          <w:rFonts w:hint="eastAsia"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（2）</w:t>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构建银政信息共享机制，强化客户环境信息披露</w:t>
      </w:r>
    </w:p>
    <w:p>
      <w:pPr>
        <w:keepNext w:val="0"/>
        <w:keepLines w:val="0"/>
        <w:pageBreakBefore w:val="0"/>
        <w:widowControl/>
        <w:kinsoku/>
        <w:wordWrap/>
        <w:overflowPunct/>
        <w:topLinePunct w:val="0"/>
        <w:autoSpaceDE w:val="0"/>
        <w:autoSpaceDN w:val="0"/>
        <w:bidi w:val="0"/>
        <w:adjustRightInd w:val="0"/>
        <w:snapToGrid w:val="0"/>
        <w:spacing w:before="149" w:beforeLines="50" w:line="240" w:lineRule="auto"/>
        <w:ind w:firstLine="504" w:firstLineChars="200"/>
        <w:textAlignment w:val="baseline"/>
        <w:outlineLvl w:val="9"/>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pP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本行积极加强与地方政府、环保部门等部门的战略合作与横向联动</w:t>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begin"/>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instrText xml:space="preserve"> HYPERLINK "http://odz.xdkb.net//html/2025-02/14/content_654815.htm" \t "https://chat.deepseek.com/a/chat/s/_blank" </w:instrText>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separate"/>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end"/>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begin"/>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instrText xml:space="preserve"> HYPERLINK "https://www.xdkb.net/p1/rd/j9vj6/511204.html" \t "https://chat.deepseek.com/a/chat/s/_blank" </w:instrText>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separate"/>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end"/>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。与扬州市生态环境局建立信息共享平台，环保部门定期向本行提供企业环境信用评价、环保违规处罚等信息，帮助本行准确评估企业的环境风险</w:t>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begin"/>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instrText xml:space="preserve"> HYPERLINK "http://odz.xdkb.net//html/2025-02/14/content_654815.htm" \t "https://chat.deepseek.com/a/chat/s/_blank" </w:instrText>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separate"/>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end"/>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。本行也将绿色金融支持的项目进展情况及时反馈给环保部门，共同监督项目的环境效益实现情况</w:t>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begin"/>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instrText xml:space="preserve"> HYPERLINK "http://odz.xdkb.net//html/2025-02/14/content_654815.htm" \t "https://chat.deepseek.com/a/chat/s/_blank" </w:instrText>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separate"/>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end"/>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。通过上述双向信息互通机制，本行有效督促融资客户重视环境合规与环境绩效提升。</w:t>
      </w:r>
    </w:p>
    <w:p>
      <w:pPr>
        <w:keepNext w:val="0"/>
        <w:keepLines w:val="0"/>
        <w:pageBreakBefore w:val="0"/>
        <w:widowControl/>
        <w:kinsoku/>
        <w:wordWrap/>
        <w:overflowPunct/>
        <w:topLinePunct w:val="0"/>
        <w:autoSpaceDE w:val="0"/>
        <w:autoSpaceDN w:val="0"/>
        <w:bidi w:val="0"/>
        <w:adjustRightInd w:val="0"/>
        <w:snapToGrid w:val="0"/>
        <w:spacing w:before="149" w:beforeLines="50" w:line="240" w:lineRule="auto"/>
        <w:ind w:firstLine="504" w:firstLineChars="200"/>
        <w:textAlignment w:val="baseline"/>
        <w:outlineLvl w:val="3"/>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pPr>
      <w:r>
        <w:rPr>
          <w:rFonts w:hint="eastAsia"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（3）</w:t>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将环境绩效纳入信贷全流程管理</w:t>
      </w:r>
    </w:p>
    <w:p>
      <w:pPr>
        <w:keepNext w:val="0"/>
        <w:keepLines w:val="0"/>
        <w:pageBreakBefore w:val="0"/>
        <w:widowControl/>
        <w:kinsoku/>
        <w:wordWrap/>
        <w:overflowPunct/>
        <w:topLinePunct w:val="0"/>
        <w:autoSpaceDE w:val="0"/>
        <w:autoSpaceDN w:val="0"/>
        <w:bidi w:val="0"/>
        <w:adjustRightInd w:val="0"/>
        <w:snapToGrid w:val="0"/>
        <w:spacing w:before="149" w:beforeLines="50" w:line="240" w:lineRule="auto"/>
        <w:ind w:firstLine="504" w:firstLineChars="200"/>
        <w:textAlignment w:val="baseline"/>
        <w:outlineLvl w:val="9"/>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pP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本行将环境风险评价结果嵌入贷前调查、贷中审批及贷后管理全流程。在“气象贷”业务中，本行联合市气象局对客户所在区域近三年气象灾害发生频次、强度及生产经营关联度进行综合分析，将评估结果纳入授信模型。在绿色交通贷款中，本行严格落实绿色贷款专款专用机制，全程跟踪资金流向，确保贷款资金全部用于老旧燃油公交淘汰、新能源公交采购及配套设施升级，切实提升绿色金融资源利用效率。通过上述举措，本行将环境绩效管理嵌入信贷业务全生命周期。</w:t>
      </w:r>
    </w:p>
    <w:p>
      <w:pPr>
        <w:keepNext w:val="0"/>
        <w:keepLines w:val="0"/>
        <w:pageBreakBefore w:val="0"/>
        <w:widowControl/>
        <w:kinsoku/>
        <w:wordWrap/>
        <w:overflowPunct/>
        <w:topLinePunct w:val="0"/>
        <w:autoSpaceDE w:val="0"/>
        <w:autoSpaceDN w:val="0"/>
        <w:bidi w:val="0"/>
        <w:adjustRightInd w:val="0"/>
        <w:snapToGrid w:val="0"/>
        <w:spacing w:before="149" w:beforeLines="50" w:line="240" w:lineRule="auto"/>
        <w:ind w:firstLine="504" w:firstLineChars="200"/>
        <w:textAlignment w:val="baseline"/>
        <w:outlineLvl w:val="3"/>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pPr>
      <w:r>
        <w:rPr>
          <w:rFonts w:hint="eastAsia"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（4）</w:t>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实施差异化信贷政策，激励客户绿色转型</w:t>
      </w:r>
    </w:p>
    <w:p>
      <w:pPr>
        <w:keepNext w:val="0"/>
        <w:keepLines w:val="0"/>
        <w:pageBreakBefore w:val="0"/>
        <w:widowControl/>
        <w:kinsoku/>
        <w:wordWrap/>
        <w:overflowPunct/>
        <w:topLinePunct w:val="0"/>
        <w:autoSpaceDE w:val="0"/>
        <w:autoSpaceDN w:val="0"/>
        <w:bidi w:val="0"/>
        <w:adjustRightInd w:val="0"/>
        <w:snapToGrid w:val="0"/>
        <w:spacing w:before="149" w:beforeLines="50" w:line="240" w:lineRule="auto"/>
        <w:ind w:firstLine="504" w:firstLineChars="200"/>
        <w:textAlignment w:val="baseline"/>
        <w:outlineLvl w:val="9"/>
        <w:rPr>
          <w:rFonts w:hint="eastAsia"/>
          <w:b w:val="0"/>
          <w:bCs/>
          <w:color w:val="000000" w:themeColor="text1"/>
          <w:lang w:val="en-US" w:eastAsia="zh-CN"/>
          <w14:textFill>
            <w14:solidFill>
              <w14:schemeClr w14:val="tx1"/>
            </w14:solidFill>
          </w14:textFill>
        </w:rPr>
      </w:pP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本行对属于鼓励类的绿色项目积极给予信贷支持，对存在重大环境风险的客户实行重点名单管理，制定风险化解措施并督导落实。同时，本行将绿色信贷业务纳入尽职免责范围，提高绿色信贷不良容忍度，推动信贷人员加大投放力度</w:t>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begin"/>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instrText xml:space="preserve"> HYPERLINK "http://odz.xdkb.net//html/2025-02/14/content_654815.htm" \t "https://chat.deepseek.com/a/chat/s/_blank" </w:instrText>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separate"/>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end"/>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。本行累计为200多家新能源、污水处理、固废处理等绿色企业提供了50多亿元的信贷支持</w:t>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begin"/>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instrText xml:space="preserve"> HYPERLINK "http://odz.xdkb.net//html/2025-02/14/content_654815.htm" \t "https://chat.deepseek.com/a/chat/s/_blank" </w:instrText>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separate"/>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end"/>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begin"/>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instrText xml:space="preserve"> HYPERLINK "https://lib.cet.com.cn/paper/szb_con/537406.html" \t "https://chat.deepseek.com/a/chat/s/_blank" </w:instrText>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separate"/>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end"/>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。通过利率优惠、审批高效等差异化政策，引导融资客户主动提升环境绩效、加快绿色转型。</w:t>
      </w:r>
      <w:r>
        <w:rPr>
          <w:rFonts w:hint="eastAsia"/>
          <w:b w:val="0"/>
          <w:bCs/>
          <w:color w:val="000000" w:themeColor="text1"/>
          <w:lang w:val="en-US" w:eastAsia="zh-CN"/>
          <w14:textFill>
            <w14:solidFill>
              <w14:schemeClr w14:val="tx1"/>
            </w14:solidFill>
          </w14:textFill>
        </w:rPr>
        <w:br w:type="page"/>
      </w:r>
    </w:p>
    <w:p>
      <w:pPr>
        <w:pStyle w:val="18"/>
        <w:keepNext w:val="0"/>
        <w:keepLines w:val="0"/>
        <w:pageBreakBefore w:val="0"/>
        <w:numPr>
          <w:ilvl w:val="0"/>
          <w:numId w:val="6"/>
        </w:numPr>
        <w:tabs>
          <w:tab w:val="right" w:leader="dot" w:pos="9897"/>
        </w:tabs>
        <w:kinsoku/>
        <w:wordWrap/>
        <w:overflowPunct/>
        <w:topLinePunct w:val="0"/>
        <w:bidi w:val="0"/>
        <w:adjustRightInd w:val="0"/>
        <w:snapToGrid w:val="0"/>
        <w:spacing w:line="240" w:lineRule="auto"/>
        <w:ind w:left="0" w:leftChars="0" w:firstLine="0" w:firstLineChars="0"/>
        <w:jc w:val="center"/>
        <w:outlineLvl w:val="0"/>
        <w:rPr>
          <w:rFonts w:hint="eastAsia" w:ascii="微软雅黑" w:hAnsi="微软雅黑" w:eastAsia="微软雅黑" w:cs="微软雅黑"/>
          <w:b w:val="0"/>
          <w:bCs/>
          <w:color w:val="00B050"/>
          <w:kern w:val="2"/>
          <w:sz w:val="32"/>
          <w:szCs w:val="32"/>
          <w:lang w:val="en-US" w:eastAsia="zh-CN" w:bidi="ar-SA"/>
        </w:rPr>
      </w:pPr>
      <w:bookmarkStart w:id="45" w:name="_Toc2313"/>
      <w:r>
        <w:rPr>
          <w:rFonts w:hint="eastAsia" w:ascii="微软雅黑" w:hAnsi="微软雅黑" w:eastAsia="微软雅黑" w:cs="微软雅黑"/>
          <w:b w:val="0"/>
          <w:bCs/>
          <w:color w:val="00B050"/>
          <w:kern w:val="2"/>
          <w:sz w:val="32"/>
          <w:szCs w:val="32"/>
          <w:lang w:val="en-US" w:eastAsia="zh-CN" w:bidi="ar-SA"/>
        </w:rPr>
        <w:t>数据质量管理</w:t>
      </w:r>
      <w:bookmarkEnd w:id="45"/>
    </w:p>
    <w:p>
      <w:pPr>
        <w:keepNext w:val="0"/>
        <w:keepLines w:val="0"/>
        <w:pageBreakBefore w:val="0"/>
        <w:widowControl/>
        <w:numPr>
          <w:ilvl w:val="0"/>
          <w:numId w:val="0"/>
        </w:numPr>
        <w:kinsoku/>
        <w:wordWrap/>
        <w:overflowPunct/>
        <w:topLinePunct w:val="0"/>
        <w:autoSpaceDE w:val="0"/>
        <w:autoSpaceDN w:val="0"/>
        <w:bidi w:val="0"/>
        <w:adjustRightInd w:val="0"/>
        <w:snapToGrid w:val="0"/>
        <w:spacing w:before="149" w:beforeLines="50" w:line="240" w:lineRule="auto"/>
        <w:ind w:left="0" w:leftChars="0" w:firstLine="0" w:firstLineChars="0"/>
        <w:textAlignment w:val="baseline"/>
        <w:outlineLvl w:val="0"/>
        <w:rPr>
          <w:rFonts w:hint="eastAsia" w:ascii="微软雅黑" w:hAnsi="微软雅黑" w:eastAsia="微软雅黑" w:cs="微软雅黑"/>
          <w:b w:val="0"/>
          <w:bCs/>
          <w:color w:val="000000" w:themeColor="text1"/>
          <w:kern w:val="2"/>
          <w:sz w:val="28"/>
          <w:szCs w:val="28"/>
          <w:lang w:val="en-US" w:eastAsia="zh-CN" w:bidi="ar-SA"/>
          <w14:textFill>
            <w14:solidFill>
              <w14:schemeClr w14:val="tx1"/>
            </w14:solidFill>
          </w14:textFill>
        </w:rPr>
      </w:pPr>
      <w:bookmarkStart w:id="46" w:name="_Toc3326"/>
      <w:r>
        <w:rPr>
          <w:rFonts w:hint="eastAsia" w:ascii="微软雅黑" w:hAnsi="微软雅黑" w:eastAsia="微软雅黑" w:cs="微软雅黑"/>
          <w:b w:val="0"/>
          <w:bCs/>
          <w:color w:val="000000" w:themeColor="text1"/>
          <w:kern w:val="2"/>
          <w:sz w:val="28"/>
          <w:szCs w:val="28"/>
          <w:lang w:val="en-US" w:eastAsia="zh-CN" w:bidi="ar-SA"/>
          <w14:textFill>
            <w14:solidFill>
              <w14:schemeClr w14:val="tx1"/>
            </w14:solidFill>
          </w14:textFill>
        </w:rPr>
        <w:t>10.1 数据梳理及校验</w:t>
      </w:r>
      <w:bookmarkEnd w:id="46"/>
    </w:p>
    <w:p>
      <w:pPr>
        <w:pageBreakBefore w:val="0"/>
        <w:widowControl/>
        <w:kinsoku w:val="0"/>
        <w:wordWrap/>
        <w:topLinePunct w:val="0"/>
        <w:autoSpaceDE w:val="0"/>
        <w:autoSpaceDN w:val="0"/>
        <w:bidi w:val="0"/>
        <w:adjustRightInd w:val="0"/>
        <w:snapToGrid w:val="0"/>
        <w:spacing w:before="149" w:beforeLines="50" w:line="240" w:lineRule="auto"/>
        <w:ind w:firstLine="480" w:firstLineChars="200"/>
        <w:textAlignment w:val="baseline"/>
        <w:outlineLvl w:val="2"/>
        <w:rPr>
          <w:rFonts w:hint="default" w:ascii="微软雅黑" w:hAnsi="微软雅黑" w:eastAsia="微软雅黑" w:cs="微软雅黑"/>
          <w:b w:val="0"/>
          <w:bCs/>
          <w:color w:val="000000" w:themeColor="text1"/>
          <w:kern w:val="2"/>
          <w:sz w:val="24"/>
          <w:szCs w:val="24"/>
          <w:lang w:val="en-US" w:eastAsia="zh-CN" w:bidi="ar-SA"/>
          <w14:textFill>
            <w14:solidFill>
              <w14:schemeClr w14:val="tx1"/>
            </w14:solidFill>
          </w14:textFill>
        </w:rPr>
      </w:pPr>
      <w:r>
        <w:rPr>
          <w:rFonts w:hint="default" w:ascii="微软雅黑" w:hAnsi="微软雅黑" w:eastAsia="微软雅黑" w:cs="微软雅黑"/>
          <w:b w:val="0"/>
          <w:bCs/>
          <w:color w:val="000000" w:themeColor="text1"/>
          <w:kern w:val="2"/>
          <w:sz w:val="24"/>
          <w:szCs w:val="24"/>
          <w:lang w:val="en-US" w:eastAsia="zh-CN" w:bidi="ar-SA"/>
          <w14:textFill>
            <w14:solidFill>
              <w14:schemeClr w14:val="tx1"/>
            </w14:solidFill>
          </w14:textFill>
        </w:rPr>
        <w:t>10.1.1数据收集</w:t>
      </w:r>
    </w:p>
    <w:p>
      <w:pPr>
        <w:keepNext w:val="0"/>
        <w:keepLines w:val="0"/>
        <w:pageBreakBefore w:val="0"/>
        <w:widowControl/>
        <w:kinsoku/>
        <w:wordWrap/>
        <w:overflowPunct/>
        <w:topLinePunct w:val="0"/>
        <w:autoSpaceDE w:val="0"/>
        <w:autoSpaceDN w:val="0"/>
        <w:bidi w:val="0"/>
        <w:adjustRightInd w:val="0"/>
        <w:snapToGrid w:val="0"/>
        <w:spacing w:before="149" w:beforeLines="50" w:line="240" w:lineRule="auto"/>
        <w:ind w:firstLine="504" w:firstLineChars="200"/>
        <w:textAlignment w:val="baseline"/>
        <w:outlineLvl w:val="9"/>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pP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本行高度重视金融碳核算与环境信息披露的基础数据采集工作，从制度保障、组织保障和能力建设三个维度构建了完整的数据收集体系。</w:t>
      </w:r>
    </w:p>
    <w:p>
      <w:pPr>
        <w:keepNext w:val="0"/>
        <w:keepLines w:val="0"/>
        <w:pageBreakBefore w:val="0"/>
        <w:widowControl/>
        <w:kinsoku/>
        <w:wordWrap/>
        <w:overflowPunct/>
        <w:topLinePunct w:val="0"/>
        <w:autoSpaceDE w:val="0"/>
        <w:autoSpaceDN w:val="0"/>
        <w:bidi w:val="0"/>
        <w:adjustRightInd w:val="0"/>
        <w:snapToGrid w:val="0"/>
        <w:spacing w:before="149" w:beforeLines="50" w:line="240" w:lineRule="auto"/>
        <w:ind w:firstLine="504" w:firstLineChars="200"/>
        <w:textAlignment w:val="baseline"/>
        <w:outlineLvl w:val="9"/>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pP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w:t>
      </w:r>
      <w:r>
        <w:rPr>
          <w:rFonts w:hint="eastAsia"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1</w:t>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制度保障。本行依据中国人民银行《绿色贷款专项统计制度》和《绿色债券支持项目目录（2021年版）》，制定并实施了本行绿色统计制度，详细规范绿色信贷和绿色债券的认定流程、标识指标及数据统计的具体方法，确保绿色资产数据收集的规范性与一致性。</w:t>
      </w:r>
    </w:p>
    <w:p>
      <w:pPr>
        <w:keepNext w:val="0"/>
        <w:keepLines w:val="0"/>
        <w:pageBreakBefore w:val="0"/>
        <w:widowControl/>
        <w:kinsoku/>
        <w:wordWrap/>
        <w:overflowPunct/>
        <w:topLinePunct w:val="0"/>
        <w:autoSpaceDE w:val="0"/>
        <w:autoSpaceDN w:val="0"/>
        <w:bidi w:val="0"/>
        <w:adjustRightInd w:val="0"/>
        <w:snapToGrid w:val="0"/>
        <w:spacing w:before="149" w:beforeLines="50" w:line="240" w:lineRule="auto"/>
        <w:ind w:firstLine="504" w:firstLineChars="200"/>
        <w:textAlignment w:val="baseline"/>
        <w:outlineLvl w:val="9"/>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pP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w:t>
      </w:r>
      <w:r>
        <w:rPr>
          <w:rFonts w:hint="eastAsia"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2</w:t>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组织保障。为保障金融碳核算和环境信息披露工作顺利开展，本行董事会办公室牵头成立了由多业务部门和分支机构组成的专项工作组，专门负责本行金融碳核算（自身经营碳排放、投融资碳排放、绿色资产碳减排）和环境信息披露工作，形成跨部门协同推进的工作格局。</w:t>
      </w:r>
    </w:p>
    <w:p>
      <w:pPr>
        <w:keepNext w:val="0"/>
        <w:keepLines w:val="0"/>
        <w:pageBreakBefore w:val="0"/>
        <w:widowControl/>
        <w:kinsoku/>
        <w:wordWrap/>
        <w:overflowPunct/>
        <w:topLinePunct w:val="0"/>
        <w:autoSpaceDE w:val="0"/>
        <w:autoSpaceDN w:val="0"/>
        <w:bidi w:val="0"/>
        <w:adjustRightInd w:val="0"/>
        <w:snapToGrid w:val="0"/>
        <w:spacing w:before="149" w:beforeLines="50" w:line="240" w:lineRule="auto"/>
        <w:ind w:firstLine="504" w:firstLineChars="200"/>
        <w:textAlignment w:val="baseline"/>
        <w:outlineLvl w:val="9"/>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pP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w:t>
      </w:r>
      <w:r>
        <w:rPr>
          <w:rFonts w:hint="eastAsia"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3</w:t>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）能力建设</w:t>
      </w:r>
      <w:r>
        <w:rPr>
          <w:rFonts w:hint="eastAsia"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w:t>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为解决本行在金融碳核算和环境信息披露方面专业经验不足的难题，本行聘请了专业第三方咨询机构，辅导工作组设计了完整的可行性方案、工作计划、操作手册、数据收集表和报告模板等文件，并采购和部署了本行金融碳核算系统数字化工具，为数据采集提供了技术支撑。</w:t>
      </w:r>
    </w:p>
    <w:p>
      <w:pPr>
        <w:keepNext w:val="0"/>
        <w:keepLines w:val="0"/>
        <w:pageBreakBefore w:val="0"/>
        <w:widowControl/>
        <w:kinsoku/>
        <w:wordWrap/>
        <w:overflowPunct/>
        <w:topLinePunct w:val="0"/>
        <w:autoSpaceDE w:val="0"/>
        <w:autoSpaceDN w:val="0"/>
        <w:bidi w:val="0"/>
        <w:adjustRightInd w:val="0"/>
        <w:snapToGrid w:val="0"/>
        <w:spacing w:before="149" w:beforeLines="50" w:line="240" w:lineRule="auto"/>
        <w:ind w:firstLine="504" w:firstLineChars="200"/>
        <w:textAlignment w:val="baseline"/>
        <w:outlineLvl w:val="9"/>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pP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基于以上制度、组织、能力三重保障，本行通过内部统计系统与外部客户数据收集相结合的方式，实现了环境信息披露所需数据的全面、准确和及时统计。</w:t>
      </w:r>
    </w:p>
    <w:p>
      <w:pPr>
        <w:pageBreakBefore w:val="0"/>
        <w:widowControl/>
        <w:kinsoku w:val="0"/>
        <w:wordWrap/>
        <w:topLinePunct w:val="0"/>
        <w:autoSpaceDE w:val="0"/>
        <w:autoSpaceDN w:val="0"/>
        <w:bidi w:val="0"/>
        <w:adjustRightInd w:val="0"/>
        <w:snapToGrid w:val="0"/>
        <w:spacing w:before="149" w:beforeLines="50" w:line="240" w:lineRule="auto"/>
        <w:ind w:firstLine="480" w:firstLineChars="200"/>
        <w:textAlignment w:val="baseline"/>
        <w:outlineLvl w:val="2"/>
        <w:rPr>
          <w:rFonts w:hint="default" w:ascii="微软雅黑" w:hAnsi="微软雅黑" w:eastAsia="微软雅黑" w:cs="微软雅黑"/>
          <w:b w:val="0"/>
          <w:bCs/>
          <w:color w:val="000000" w:themeColor="text1"/>
          <w:kern w:val="2"/>
          <w:sz w:val="24"/>
          <w:szCs w:val="24"/>
          <w:lang w:val="en-US" w:eastAsia="zh-CN" w:bidi="ar-SA"/>
          <w14:textFill>
            <w14:solidFill>
              <w14:schemeClr w14:val="tx1"/>
            </w14:solidFill>
          </w14:textFill>
        </w:rPr>
      </w:pPr>
      <w:r>
        <w:rPr>
          <w:rFonts w:hint="default" w:ascii="微软雅黑" w:hAnsi="微软雅黑" w:eastAsia="微软雅黑" w:cs="微软雅黑"/>
          <w:b w:val="0"/>
          <w:bCs/>
          <w:color w:val="000000" w:themeColor="text1"/>
          <w:kern w:val="2"/>
          <w:sz w:val="24"/>
          <w:szCs w:val="24"/>
          <w:lang w:val="en-US" w:eastAsia="zh-CN" w:bidi="ar-SA"/>
          <w14:textFill>
            <w14:solidFill>
              <w14:schemeClr w14:val="tx1"/>
            </w14:solidFill>
          </w14:textFill>
        </w:rPr>
        <w:t>10.1.2数据校验</w:t>
      </w:r>
    </w:p>
    <w:p>
      <w:pPr>
        <w:keepNext w:val="0"/>
        <w:keepLines w:val="0"/>
        <w:pageBreakBefore w:val="0"/>
        <w:widowControl/>
        <w:kinsoku/>
        <w:wordWrap/>
        <w:overflowPunct/>
        <w:topLinePunct w:val="0"/>
        <w:autoSpaceDE w:val="0"/>
        <w:autoSpaceDN w:val="0"/>
        <w:bidi w:val="0"/>
        <w:adjustRightInd w:val="0"/>
        <w:snapToGrid w:val="0"/>
        <w:spacing w:before="149" w:beforeLines="50" w:line="240" w:lineRule="auto"/>
        <w:ind w:firstLine="504" w:firstLineChars="200"/>
        <w:textAlignment w:val="baseline"/>
        <w:outlineLvl w:val="9"/>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pP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本行建立了严格的数据校验流程，通过交叉核对、内部评审及外部审验多种方式对数据进行多维度校验，确保数据可追溯、可验证、可核查。</w:t>
      </w:r>
    </w:p>
    <w:p>
      <w:pPr>
        <w:keepNext w:val="0"/>
        <w:keepLines w:val="0"/>
        <w:pageBreakBefore w:val="0"/>
        <w:widowControl/>
        <w:kinsoku/>
        <w:wordWrap/>
        <w:overflowPunct/>
        <w:topLinePunct w:val="0"/>
        <w:autoSpaceDE w:val="0"/>
        <w:autoSpaceDN w:val="0"/>
        <w:bidi w:val="0"/>
        <w:adjustRightInd w:val="0"/>
        <w:snapToGrid w:val="0"/>
        <w:spacing w:before="149" w:beforeLines="50" w:line="240" w:lineRule="auto"/>
        <w:ind w:firstLine="504" w:firstLineChars="200"/>
        <w:textAlignment w:val="baseline"/>
        <w:outlineLvl w:val="9"/>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pP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w:t>
      </w:r>
      <w:r>
        <w:rPr>
          <w:rFonts w:hint="eastAsia"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1</w:t>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交叉核对。本行建立了双重交叉核对机制：支行核对专员对客户经理收集和填报的《客户清单》、投融资碳排放、绿色资产碳减排初始数据逐个核对；总行核对专员对支行收集和填报的自身经营碳排放、投融资清单、碳减排清单进行复核，通过金融碳核算系统数据核验工具对数据进行自动化校验，确保原始数据的准确性与一致性。</w:t>
      </w:r>
    </w:p>
    <w:p>
      <w:pPr>
        <w:keepNext w:val="0"/>
        <w:keepLines w:val="0"/>
        <w:pageBreakBefore w:val="0"/>
        <w:widowControl/>
        <w:kinsoku/>
        <w:wordWrap/>
        <w:overflowPunct/>
        <w:topLinePunct w:val="0"/>
        <w:autoSpaceDE w:val="0"/>
        <w:autoSpaceDN w:val="0"/>
        <w:bidi w:val="0"/>
        <w:adjustRightInd w:val="0"/>
        <w:snapToGrid w:val="0"/>
        <w:spacing w:before="149" w:beforeLines="50" w:line="240" w:lineRule="auto"/>
        <w:ind w:firstLine="504" w:firstLineChars="200"/>
        <w:textAlignment w:val="baseline"/>
        <w:outlineLvl w:val="9"/>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pP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w:t>
      </w:r>
      <w:r>
        <w:rPr>
          <w:rFonts w:hint="eastAsia"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2</w:t>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）内部评审。本行组织内部专家依据评审规则和统计数据，对金融碳核算系统最终计算结果和各类碳报表进行内部评审，确保核算方法与数据处理的规范性与合理性。</w:t>
      </w:r>
    </w:p>
    <w:p>
      <w:pPr>
        <w:keepNext w:val="0"/>
        <w:keepLines w:val="0"/>
        <w:pageBreakBefore w:val="0"/>
        <w:widowControl/>
        <w:kinsoku/>
        <w:wordWrap/>
        <w:overflowPunct/>
        <w:topLinePunct w:val="0"/>
        <w:autoSpaceDE w:val="0"/>
        <w:autoSpaceDN w:val="0"/>
        <w:bidi w:val="0"/>
        <w:adjustRightInd w:val="0"/>
        <w:snapToGrid w:val="0"/>
        <w:spacing w:before="149" w:beforeLines="50" w:line="240" w:lineRule="auto"/>
        <w:ind w:firstLine="504" w:firstLineChars="200"/>
        <w:textAlignment w:val="baseline"/>
        <w:outlineLvl w:val="9"/>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pP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w:t>
      </w:r>
      <w:r>
        <w:rPr>
          <w:rFonts w:hint="eastAsia"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3</w:t>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外部审验。第三方机构依据《金融机构碳核算技术指南（试行）》和《江苏省银行业金融机构环境信息披露指引》，参考行业内金融碳核算最佳实践经验，对关键数据进行严格比对，识别并纠正潜在偏差，确保披露数据的公信力与可比性。</w:t>
      </w:r>
    </w:p>
    <w:p>
      <w:pPr>
        <w:pStyle w:val="2"/>
        <w:keepNext w:val="0"/>
        <w:keepLines w:val="0"/>
        <w:pageBreakBefore w:val="0"/>
        <w:widowControl w:val="0"/>
        <w:kinsoku/>
        <w:wordWrap/>
        <w:overflowPunct/>
        <w:topLinePunct w:val="0"/>
        <w:autoSpaceDE/>
        <w:autoSpaceDN/>
        <w:bidi w:val="0"/>
        <w:adjustRightInd/>
        <w:snapToGrid/>
        <w:spacing w:after="0" w:line="240" w:lineRule="auto"/>
        <w:textAlignment w:val="auto"/>
        <w:rPr>
          <w:rFonts w:hint="eastAsia" w:ascii="仿宋" w:hAnsi="仿宋" w:eastAsia="仿宋" w:cs="仿宋"/>
          <w:b w:val="0"/>
          <w:bCs/>
          <w:snapToGrid w:val="0"/>
          <w:color w:val="auto"/>
          <w:spacing w:val="6"/>
          <w:kern w:val="0"/>
          <w:sz w:val="18"/>
          <w:szCs w:val="18"/>
          <w:lang w:val="en-US" w:eastAsia="zh-CN" w:bidi="ar-SA"/>
        </w:rPr>
      </w:pPr>
      <w:bookmarkStart w:id="47" w:name="_Toc27095"/>
    </w:p>
    <w:p>
      <w:pPr>
        <w:keepNext w:val="0"/>
        <w:keepLines w:val="0"/>
        <w:pageBreakBefore w:val="0"/>
        <w:widowControl/>
        <w:numPr>
          <w:ilvl w:val="0"/>
          <w:numId w:val="0"/>
        </w:numPr>
        <w:kinsoku/>
        <w:wordWrap/>
        <w:overflowPunct/>
        <w:topLinePunct w:val="0"/>
        <w:autoSpaceDE w:val="0"/>
        <w:autoSpaceDN w:val="0"/>
        <w:bidi w:val="0"/>
        <w:adjustRightInd w:val="0"/>
        <w:snapToGrid w:val="0"/>
        <w:spacing w:before="149" w:beforeLines="50" w:line="240" w:lineRule="auto"/>
        <w:ind w:left="0" w:leftChars="0" w:firstLine="0" w:firstLineChars="0"/>
        <w:textAlignment w:val="baseline"/>
        <w:outlineLvl w:val="0"/>
        <w:rPr>
          <w:rFonts w:hint="eastAsia" w:ascii="微软雅黑" w:hAnsi="微软雅黑" w:eastAsia="微软雅黑" w:cs="微软雅黑"/>
          <w:b w:val="0"/>
          <w:bCs/>
          <w:color w:val="000000" w:themeColor="text1"/>
          <w:kern w:val="2"/>
          <w:sz w:val="28"/>
          <w:szCs w:val="28"/>
          <w:lang w:val="en-US" w:eastAsia="zh-CN" w:bidi="ar-SA"/>
          <w14:textFill>
            <w14:solidFill>
              <w14:schemeClr w14:val="tx1"/>
            </w14:solidFill>
          </w14:textFill>
        </w:rPr>
      </w:pPr>
      <w:r>
        <w:rPr>
          <w:rFonts w:hint="eastAsia" w:ascii="微软雅黑" w:hAnsi="微软雅黑" w:eastAsia="微软雅黑" w:cs="微软雅黑"/>
          <w:b w:val="0"/>
          <w:bCs/>
          <w:color w:val="000000" w:themeColor="text1"/>
          <w:kern w:val="2"/>
          <w:sz w:val="28"/>
          <w:szCs w:val="28"/>
          <w:lang w:val="en-US" w:eastAsia="zh-CN" w:bidi="ar-SA"/>
          <w14:textFill>
            <w14:solidFill>
              <w14:schemeClr w14:val="tx1"/>
            </w14:solidFill>
          </w14:textFill>
        </w:rPr>
        <w:t>10.2 加强信息化建设，保证数据权益和安全</w:t>
      </w:r>
      <w:bookmarkEnd w:id="47"/>
    </w:p>
    <w:p>
      <w:pPr>
        <w:keepNext w:val="0"/>
        <w:keepLines w:val="0"/>
        <w:pageBreakBefore w:val="0"/>
        <w:widowControl/>
        <w:kinsoku/>
        <w:wordWrap/>
        <w:overflowPunct/>
        <w:topLinePunct w:val="0"/>
        <w:autoSpaceDE w:val="0"/>
        <w:autoSpaceDN w:val="0"/>
        <w:bidi w:val="0"/>
        <w:adjustRightInd w:val="0"/>
        <w:snapToGrid w:val="0"/>
        <w:spacing w:before="149" w:beforeLines="50" w:line="240" w:lineRule="auto"/>
        <w:ind w:firstLine="504" w:firstLineChars="200"/>
        <w:textAlignment w:val="baseline"/>
        <w:outlineLvl w:val="9"/>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pP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扬州农商银行高度重视信息化建设与数据安全保障工作，将数字化转型作为全行战略重点，以“技术为基、安全为本、效用为王”为主线</w:t>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begin"/>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instrText xml:space="preserve"> HYPERLINK "https://jsjjb.xhby.net/pad/con/202504/02/content_1435844.html" \t "https://chat.deepseek.com/a/chat/s/_blank" </w:instrText>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separate"/>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end"/>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，系统推进数据治理、系统建设与安全防护，切实保障数据权益与数据安全。</w:t>
      </w:r>
    </w:p>
    <w:p>
      <w:pPr>
        <w:pageBreakBefore w:val="0"/>
        <w:widowControl/>
        <w:kinsoku w:val="0"/>
        <w:wordWrap/>
        <w:topLinePunct w:val="0"/>
        <w:autoSpaceDE w:val="0"/>
        <w:autoSpaceDN w:val="0"/>
        <w:bidi w:val="0"/>
        <w:adjustRightInd w:val="0"/>
        <w:snapToGrid w:val="0"/>
        <w:spacing w:before="149" w:beforeLines="50" w:line="240" w:lineRule="auto"/>
        <w:ind w:firstLine="480" w:firstLineChars="200"/>
        <w:textAlignment w:val="baseline"/>
        <w:outlineLvl w:val="2"/>
        <w:rPr>
          <w:rFonts w:hint="default" w:ascii="微软雅黑" w:hAnsi="微软雅黑" w:eastAsia="微软雅黑" w:cs="微软雅黑"/>
          <w:b w:val="0"/>
          <w:bCs/>
          <w:color w:val="000000" w:themeColor="text1"/>
          <w:kern w:val="2"/>
          <w:sz w:val="24"/>
          <w:szCs w:val="24"/>
          <w:lang w:val="en-US" w:eastAsia="zh-CN" w:bidi="ar-SA"/>
          <w14:textFill>
            <w14:solidFill>
              <w14:schemeClr w14:val="tx1"/>
            </w14:solidFill>
          </w14:textFill>
        </w:rPr>
      </w:pPr>
      <w:r>
        <w:rPr>
          <w:rFonts w:hint="eastAsia" w:ascii="微软雅黑" w:hAnsi="微软雅黑" w:eastAsia="微软雅黑" w:cs="微软雅黑"/>
          <w:b w:val="0"/>
          <w:bCs/>
          <w:color w:val="000000" w:themeColor="text1"/>
          <w:kern w:val="2"/>
          <w:sz w:val="24"/>
          <w:szCs w:val="24"/>
          <w:lang w:val="en-US" w:eastAsia="zh-CN" w:bidi="ar-SA"/>
          <w14:textFill>
            <w14:solidFill>
              <w14:schemeClr w14:val="tx1"/>
            </w14:solidFill>
          </w14:textFill>
        </w:rPr>
        <w:t>10.2.1</w:t>
      </w:r>
      <w:r>
        <w:rPr>
          <w:rFonts w:hint="default" w:ascii="微软雅黑" w:hAnsi="微软雅黑" w:eastAsia="微软雅黑" w:cs="微软雅黑"/>
          <w:b w:val="0"/>
          <w:bCs/>
          <w:color w:val="000000" w:themeColor="text1"/>
          <w:kern w:val="2"/>
          <w:sz w:val="24"/>
          <w:szCs w:val="24"/>
          <w:lang w:val="en-US" w:eastAsia="zh-CN" w:bidi="ar-SA"/>
          <w14:textFill>
            <w14:solidFill>
              <w14:schemeClr w14:val="tx1"/>
            </w14:solidFill>
          </w14:textFill>
        </w:rPr>
        <w:t>加强信息化建设，夯实数据治理基础</w:t>
      </w:r>
    </w:p>
    <w:p>
      <w:pPr>
        <w:keepNext w:val="0"/>
        <w:keepLines w:val="0"/>
        <w:pageBreakBefore w:val="0"/>
        <w:widowControl/>
        <w:kinsoku/>
        <w:wordWrap/>
        <w:overflowPunct/>
        <w:topLinePunct w:val="0"/>
        <w:autoSpaceDE w:val="0"/>
        <w:autoSpaceDN w:val="0"/>
        <w:bidi w:val="0"/>
        <w:adjustRightInd w:val="0"/>
        <w:snapToGrid w:val="0"/>
        <w:spacing w:before="149" w:beforeLines="50" w:line="240" w:lineRule="auto"/>
        <w:ind w:firstLine="504" w:firstLineChars="200"/>
        <w:textAlignment w:val="baseline"/>
        <w:outlineLvl w:val="9"/>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pP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本行持续推进数据治理平台建设，与省联社下发数据进行无缝对接，整合各渠道业务系统的数据，完成历史数据的加载，对业务系统的数据进行集中存储与管理，集成手工台账数据，建立数据基础平台</w:t>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begin"/>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instrText xml:space="preserve"> HYPERLINK "http://www.yznsh.net/yzrcb/625632/625752/762770/index.html" \t "https://chat.deepseek.com/a/chat/s/_blank" </w:instrText>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separate"/>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end"/>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。在数据模型方面，采用业界成熟的五层数据模型，实现稳定的数据存储与合理的数据服务功能</w:t>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begin"/>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instrText xml:space="preserve"> HYPERLINK "http://www.yznsh.net/yzrcb/625632/625752/762770/index.html" \t "https://chat.deepseek.com/a/chat/s/_blank" </w:instrText>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separate"/>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end"/>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；建立统一的ETL平台，实现数据的抽取、加工与统一作业调度与监控</w:t>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begin"/>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instrText xml:space="preserve"> HYPERLINK "http://www.yznsh.net/yzrcb/625632/625752/762770/index.html" \t "https://chat.deepseek.com/a/chat/s/_blank" </w:instrText>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separate"/>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end"/>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；建立统一的数据交换体系，为外围系统提供标准数据接口</w:t>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begin"/>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instrText xml:space="preserve"> HYPERLINK "http://www.yznsh.net/yzrcb/625632/625752/762770/index.html" \t "https://chat.deepseek.com/a/chat/s/_blank" </w:instrText>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separate"/>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end"/>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；构建全行数据标准管理平台与数据质量管理平台，逐步实现全行业务信息标准化、统一化</w:t>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begin"/>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instrText xml:space="preserve"> HYPERLINK "http://www.yznsh.net/yzrcb/625632/625752/762770/index.html" \t "https://chat.deepseek.com/a/chat/s/_blank" </w:instrText>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separate"/>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end"/>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w:t>
      </w:r>
    </w:p>
    <w:p>
      <w:pPr>
        <w:keepNext w:val="0"/>
        <w:keepLines w:val="0"/>
        <w:pageBreakBefore w:val="0"/>
        <w:widowControl/>
        <w:kinsoku/>
        <w:wordWrap/>
        <w:overflowPunct/>
        <w:topLinePunct w:val="0"/>
        <w:autoSpaceDE w:val="0"/>
        <w:autoSpaceDN w:val="0"/>
        <w:bidi w:val="0"/>
        <w:adjustRightInd w:val="0"/>
        <w:snapToGrid w:val="0"/>
        <w:spacing w:before="149" w:beforeLines="50" w:line="240" w:lineRule="auto"/>
        <w:ind w:firstLine="504" w:firstLineChars="200"/>
        <w:textAlignment w:val="baseline"/>
        <w:outlineLvl w:val="9"/>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pP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本行注重自主研发与系统实效，坚持“小投入、大产出”原则，树立“前台业务推动、中台决策辅助、后台数据支撑”的科技思维，构建营销、管理、风控数字化体系</w:t>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begin"/>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instrText xml:space="preserve"> HYPERLINK "https://jsjjb.xhby.net/pad/con/202411/18/content_1390608.html" \t "https://chat.deepseek.com/a/chat/s/_blank" </w:instrText>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separate"/>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end"/>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。与扬州多个政府部门及人民银行建立大数据共享模式，深化与省联合征信的战略合作，拓宽企业工商数据来源，融合征信、纳税、社保、公积金、房产等数据资源，着力破解信息不对称困局</w:t>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begin"/>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instrText xml:space="preserve"> HYPERLINK "https://jsjjb.xhby.net/pad/con/202411/18/content_1390608.html" \t "https://chat.deepseek.com/a/chat/s/_blank" </w:instrText>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separate"/>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end"/>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。在人工智能应用方面，本行引入DeepSeek大语言模型，构建“通用大模型+垂直知识库”智能架构，深化大模型在信贷、风控、人力等前中后台部门的运用</w:t>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begin"/>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instrText xml:space="preserve"> HYPERLINK "https://jsjjb.xhby.net/pad/con/202504/02/content_1435844.html" \t "https://chat.deepseek.com/a/chat/s/_blank" </w:instrText>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separate"/>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end"/>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，推动“机操”代替“人操”，大幅提升运营效率</w:t>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begin"/>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instrText xml:space="preserve"> HYPERLINK "https://jsjjb.xhby.net/pad/con/202504/02/content_1435844.html" \t "https://chat.deepseek.com/a/chat/s/_blank" </w:instrText>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separate"/>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end"/>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。同时，本行上线移动展业平台，推动移动展业与“三台六岗”信贷模式高效融合；打造信贷全流程线上平台，打通税务数据接口，实现小微企业流动资金贷款线上自动评级、自动出额、自动定价。</w:t>
      </w:r>
    </w:p>
    <w:p>
      <w:pPr>
        <w:pageBreakBefore w:val="0"/>
        <w:widowControl/>
        <w:kinsoku w:val="0"/>
        <w:wordWrap/>
        <w:topLinePunct w:val="0"/>
        <w:autoSpaceDE w:val="0"/>
        <w:autoSpaceDN w:val="0"/>
        <w:bidi w:val="0"/>
        <w:adjustRightInd w:val="0"/>
        <w:snapToGrid w:val="0"/>
        <w:spacing w:before="149" w:beforeLines="50" w:line="240" w:lineRule="auto"/>
        <w:ind w:firstLine="480" w:firstLineChars="200"/>
        <w:textAlignment w:val="baseline"/>
        <w:outlineLvl w:val="2"/>
        <w:rPr>
          <w:rFonts w:hint="default" w:ascii="微软雅黑" w:hAnsi="微软雅黑" w:eastAsia="微软雅黑" w:cs="微软雅黑"/>
          <w:b w:val="0"/>
          <w:bCs/>
          <w:color w:val="000000" w:themeColor="text1"/>
          <w:kern w:val="2"/>
          <w:sz w:val="24"/>
          <w:szCs w:val="24"/>
          <w:lang w:val="en-US" w:eastAsia="zh-CN" w:bidi="ar-SA"/>
          <w14:textFill>
            <w14:solidFill>
              <w14:schemeClr w14:val="tx1"/>
            </w14:solidFill>
          </w14:textFill>
        </w:rPr>
      </w:pPr>
      <w:r>
        <w:rPr>
          <w:rFonts w:hint="eastAsia" w:ascii="微软雅黑" w:hAnsi="微软雅黑" w:eastAsia="微软雅黑" w:cs="微软雅黑"/>
          <w:b w:val="0"/>
          <w:bCs/>
          <w:color w:val="000000" w:themeColor="text1"/>
          <w:kern w:val="2"/>
          <w:sz w:val="24"/>
          <w:szCs w:val="24"/>
          <w:lang w:val="en-US" w:eastAsia="zh-CN" w:bidi="ar-SA"/>
          <w14:textFill>
            <w14:solidFill>
              <w14:schemeClr w14:val="tx1"/>
            </w14:solidFill>
          </w14:textFill>
        </w:rPr>
        <w:t>10.2.2</w:t>
      </w:r>
      <w:r>
        <w:rPr>
          <w:rFonts w:hint="default" w:ascii="微软雅黑" w:hAnsi="微软雅黑" w:eastAsia="微软雅黑" w:cs="微软雅黑"/>
          <w:b w:val="0"/>
          <w:bCs/>
          <w:color w:val="000000" w:themeColor="text1"/>
          <w:kern w:val="2"/>
          <w:sz w:val="24"/>
          <w:szCs w:val="24"/>
          <w:lang w:val="en-US" w:eastAsia="zh-CN" w:bidi="ar-SA"/>
          <w14:textFill>
            <w14:solidFill>
              <w14:schemeClr w14:val="tx1"/>
            </w14:solidFill>
          </w14:textFill>
        </w:rPr>
        <w:t>强化数据安全治理，压实安全责任链条</w:t>
      </w:r>
    </w:p>
    <w:p>
      <w:pPr>
        <w:keepNext w:val="0"/>
        <w:keepLines w:val="0"/>
        <w:pageBreakBefore w:val="0"/>
        <w:widowControl/>
        <w:kinsoku/>
        <w:wordWrap/>
        <w:overflowPunct/>
        <w:topLinePunct w:val="0"/>
        <w:autoSpaceDE w:val="0"/>
        <w:autoSpaceDN w:val="0"/>
        <w:bidi w:val="0"/>
        <w:adjustRightInd w:val="0"/>
        <w:snapToGrid w:val="0"/>
        <w:spacing w:before="149" w:beforeLines="50" w:line="240" w:lineRule="auto"/>
        <w:ind w:firstLine="504" w:firstLineChars="200"/>
        <w:textAlignment w:val="baseline"/>
        <w:outlineLvl w:val="9"/>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pP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本行严格落实国家金融监督管理总局《银行保险机构数据安全管理办法》要求</w:t>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begin"/>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instrText xml:space="preserve"> HYPERLINK "https://www.cet.com.cn/zhpd/ncjr/10379300.shtml" \l "1" \t "https://chat.deepseek.com/a/chat/s/_blank" </w:instrText>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separate"/>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end"/>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，建立了覆盖数据全生命周期和应用场景的安全保护机制</w:t>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begin"/>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instrText xml:space="preserve"> HYPERLINK "https://www.cet.com.cn/zhpd/ncjr/10379300.shtml" \l "1" \t "https://chat.deepseek.com/a/chat/s/_blank" </w:instrText>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separate"/>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end"/>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。在组织架构上，建立了覆盖董事会、高管层、数据安全归口管理部门、技术保护部门的分工协作体系，确保各层级定位清晰、权责匹配</w:t>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begin"/>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instrText xml:space="preserve"> HYPERLINK "https://www.cet.com.cn/zhpd/ncjr/10379300.shtml" \l "1" \t "https://chat.deepseek.com/a/chat/s/_blank" </w:instrText>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separate"/>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end"/>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。在责任落实上，建立了数据安全责任制，党委、董事会对数据安全工作负主体责任，机构主要负责人为第一责任人，分管负责人为直接责任人，各层级负责人逐级落实责任</w:t>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begin"/>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instrText xml:space="preserve"> HYPERLINK "https://www.cet.com.cn/zhpd/ncjr/10379300.shtml" \l "1" \t "https://chat.deepseek.com/a/chat/s/_blank" </w:instrText>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separate"/>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end"/>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在职能分工上，遵循“谁管业务、谁管业务数据、谁管数据安全”原则，由归口管理部门统筹制定制度标准、推动分类分级保护、组织风险监测预警；信息科技部门履行技术保护职责；风险管理、内控合规和审计部门将数据安全纳入全面风险管理体系和内控评价体系</w:t>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begin"/>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instrText xml:space="preserve"> HYPERLINK "https://www.cet.com.cn/zhpd/ncjr/10379300.shtml" \l "1" \t "https://chat.deepseek.com/a/chat/s/_blank" </w:instrText>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separate"/>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end"/>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w:t>
      </w:r>
    </w:p>
    <w:p>
      <w:pPr>
        <w:pageBreakBefore w:val="0"/>
        <w:widowControl/>
        <w:kinsoku w:val="0"/>
        <w:wordWrap/>
        <w:topLinePunct w:val="0"/>
        <w:autoSpaceDE w:val="0"/>
        <w:autoSpaceDN w:val="0"/>
        <w:bidi w:val="0"/>
        <w:adjustRightInd w:val="0"/>
        <w:snapToGrid w:val="0"/>
        <w:spacing w:before="149" w:beforeLines="50" w:line="240" w:lineRule="auto"/>
        <w:ind w:firstLine="480" w:firstLineChars="200"/>
        <w:textAlignment w:val="baseline"/>
        <w:outlineLvl w:val="2"/>
        <w:rPr>
          <w:rFonts w:hint="default" w:ascii="微软雅黑" w:hAnsi="微软雅黑" w:eastAsia="微软雅黑" w:cs="微软雅黑"/>
          <w:b w:val="0"/>
          <w:bCs/>
          <w:color w:val="000000" w:themeColor="text1"/>
          <w:kern w:val="2"/>
          <w:sz w:val="24"/>
          <w:szCs w:val="24"/>
          <w:lang w:val="en-US" w:eastAsia="zh-CN" w:bidi="ar-SA"/>
          <w14:textFill>
            <w14:solidFill>
              <w14:schemeClr w14:val="tx1"/>
            </w14:solidFill>
          </w14:textFill>
        </w:rPr>
      </w:pPr>
      <w:r>
        <w:rPr>
          <w:rFonts w:hint="eastAsia" w:ascii="微软雅黑" w:hAnsi="微软雅黑" w:eastAsia="微软雅黑" w:cs="微软雅黑"/>
          <w:b w:val="0"/>
          <w:bCs/>
          <w:color w:val="000000" w:themeColor="text1"/>
          <w:kern w:val="2"/>
          <w:sz w:val="24"/>
          <w:szCs w:val="24"/>
          <w:lang w:val="en-US" w:eastAsia="zh-CN" w:bidi="ar-SA"/>
          <w14:textFill>
            <w14:solidFill>
              <w14:schemeClr w14:val="tx1"/>
            </w14:solidFill>
          </w14:textFill>
        </w:rPr>
        <w:t>10.2.3</w:t>
      </w:r>
      <w:r>
        <w:rPr>
          <w:rFonts w:hint="default" w:ascii="微软雅黑" w:hAnsi="微软雅黑" w:eastAsia="微软雅黑" w:cs="微软雅黑"/>
          <w:b w:val="0"/>
          <w:bCs/>
          <w:color w:val="000000" w:themeColor="text1"/>
          <w:kern w:val="2"/>
          <w:sz w:val="24"/>
          <w:szCs w:val="24"/>
          <w:lang w:val="en-US" w:eastAsia="zh-CN" w:bidi="ar-SA"/>
          <w14:textFill>
            <w14:solidFill>
              <w14:schemeClr w14:val="tx1"/>
            </w14:solidFill>
          </w14:textFill>
        </w:rPr>
        <w:t>实施数据分类分级，落实差异化保护策略</w:t>
      </w:r>
    </w:p>
    <w:p>
      <w:pPr>
        <w:keepNext w:val="0"/>
        <w:keepLines w:val="0"/>
        <w:pageBreakBefore w:val="0"/>
        <w:widowControl/>
        <w:kinsoku/>
        <w:wordWrap/>
        <w:overflowPunct/>
        <w:topLinePunct w:val="0"/>
        <w:autoSpaceDE w:val="0"/>
        <w:autoSpaceDN w:val="0"/>
        <w:bidi w:val="0"/>
        <w:adjustRightInd w:val="0"/>
        <w:snapToGrid w:val="0"/>
        <w:spacing w:before="149" w:beforeLines="50" w:line="240" w:lineRule="auto"/>
        <w:ind w:firstLine="504" w:firstLineChars="200"/>
        <w:textAlignment w:val="baseline"/>
        <w:outlineLvl w:val="9"/>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pP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本行建立了完善的数据分类分级保护制度，制定覆盖全量数据资产的分类分级规范</w:t>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begin"/>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instrText xml:space="preserve"> HYPERLINK "https://www.cet.com.cn/zhpd/ncjr/10379300.shtml" \l "1" \t "https://chat.deepseek.com/a/chat/s/_blank" </w:instrText>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separate"/>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end"/>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。在分类维度上，综合考量业务属性、影响程度等因素，将客户数据、业务数据、经营管理数据、系统运行数据等全面纳入管理视野</w:t>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begin"/>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instrText xml:space="preserve"> HYPERLINK "https://www.cet.com.cn/zhpd/ncjr/10379300.shtml" \l "1" \t "https://chat.deepseek.com/a/chat/s/_blank" </w:instrText>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separate"/>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end"/>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。在分级维度上，根据数据的重要性和敏感程度划分等级，对重要数据全面准确识别并建立专门目录，实施重点保护</w:t>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begin"/>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instrText xml:space="preserve"> HYPERLINK "https://www.cet.com.cn/zhpd/ncjr/10379300.shtml" \l "1" \t "https://chat.deepseek.com/a/chat/s/_blank" </w:instrText>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separate"/>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end"/>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。以分类分级结果为依据实施差异化的安全保护策略，针对性采取加密、脱敏、访问控制等措施，着重落实高敏感性数据项在关键节点的安全防护</w:t>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begin"/>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instrText xml:space="preserve"> HYPERLINK "https://www.cet.com.cn/zhpd/ncjr/10379300.shtml" \l "1" \t "https://chat.deepseek.com/a/chat/s/_blank" </w:instrText>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separate"/>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end"/>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。本行制定并发布《金融消费者个人信息保护政策》，明确个人信息收集、使用、存储等环节的规范要求，采取有效措施防止数据泄露、篡改或丢失。</w:t>
      </w:r>
    </w:p>
    <w:p>
      <w:pPr>
        <w:pageBreakBefore w:val="0"/>
        <w:widowControl/>
        <w:kinsoku w:val="0"/>
        <w:wordWrap/>
        <w:topLinePunct w:val="0"/>
        <w:autoSpaceDE w:val="0"/>
        <w:autoSpaceDN w:val="0"/>
        <w:bidi w:val="0"/>
        <w:adjustRightInd w:val="0"/>
        <w:snapToGrid w:val="0"/>
        <w:spacing w:before="149" w:beforeLines="50" w:line="240" w:lineRule="auto"/>
        <w:ind w:firstLine="480" w:firstLineChars="200"/>
        <w:textAlignment w:val="baseline"/>
        <w:outlineLvl w:val="2"/>
        <w:rPr>
          <w:rFonts w:hint="default" w:ascii="微软雅黑" w:hAnsi="微软雅黑" w:eastAsia="微软雅黑" w:cs="微软雅黑"/>
          <w:b w:val="0"/>
          <w:bCs/>
          <w:color w:val="000000" w:themeColor="text1"/>
          <w:kern w:val="2"/>
          <w:sz w:val="24"/>
          <w:szCs w:val="24"/>
          <w:lang w:val="en-US" w:eastAsia="zh-CN" w:bidi="ar-SA"/>
          <w14:textFill>
            <w14:solidFill>
              <w14:schemeClr w14:val="tx1"/>
            </w14:solidFill>
          </w14:textFill>
        </w:rPr>
      </w:pPr>
      <w:r>
        <w:rPr>
          <w:rFonts w:hint="eastAsia" w:ascii="微软雅黑" w:hAnsi="微软雅黑" w:eastAsia="微软雅黑" w:cs="微软雅黑"/>
          <w:b w:val="0"/>
          <w:bCs/>
          <w:color w:val="000000" w:themeColor="text1"/>
          <w:kern w:val="2"/>
          <w:sz w:val="24"/>
          <w:szCs w:val="24"/>
          <w:lang w:val="en-US" w:eastAsia="zh-CN" w:bidi="ar-SA"/>
          <w14:textFill>
            <w14:solidFill>
              <w14:schemeClr w14:val="tx1"/>
            </w14:solidFill>
          </w14:textFill>
        </w:rPr>
        <w:t>10.2.4</w:t>
      </w:r>
      <w:r>
        <w:rPr>
          <w:rFonts w:hint="default" w:ascii="微软雅黑" w:hAnsi="微软雅黑" w:eastAsia="微软雅黑" w:cs="微软雅黑"/>
          <w:b w:val="0"/>
          <w:bCs/>
          <w:color w:val="000000" w:themeColor="text1"/>
          <w:kern w:val="2"/>
          <w:sz w:val="24"/>
          <w:szCs w:val="24"/>
          <w:lang w:val="en-US" w:eastAsia="zh-CN" w:bidi="ar-SA"/>
          <w14:textFill>
            <w14:solidFill>
              <w14:schemeClr w14:val="tx1"/>
            </w14:solidFill>
          </w14:textFill>
        </w:rPr>
        <w:t>健全全生命周期管控，筑牢技术防护底座</w:t>
      </w:r>
    </w:p>
    <w:p>
      <w:pPr>
        <w:keepNext w:val="0"/>
        <w:keepLines w:val="0"/>
        <w:pageBreakBefore w:val="0"/>
        <w:widowControl/>
        <w:kinsoku/>
        <w:wordWrap/>
        <w:overflowPunct/>
        <w:topLinePunct w:val="0"/>
        <w:autoSpaceDE w:val="0"/>
        <w:autoSpaceDN w:val="0"/>
        <w:bidi w:val="0"/>
        <w:adjustRightInd w:val="0"/>
        <w:snapToGrid w:val="0"/>
        <w:spacing w:before="149" w:beforeLines="50" w:line="240" w:lineRule="auto"/>
        <w:ind w:firstLine="504" w:firstLineChars="200"/>
        <w:textAlignment w:val="baseline"/>
        <w:outlineLvl w:val="9"/>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pP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本行将数据安全管控贯穿数据采集、传输、存储、使用、删除、销毁全过程</w:t>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begin"/>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instrText xml:space="preserve"> HYPERLINK "https://www.cet.com.cn/zhpd/ncjr/10379300.shtml" \l "1" \t "https://chat.deepseek.com/a/chat/s/_blank" </w:instrText>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separate"/>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end"/>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。在采集环节，明确收集和处理数据的目的、方式、范围与规则，坚持合法、正当、必要原则</w:t>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begin"/>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instrText xml:space="preserve"> HYPERLINK "https://www.cet.com.cn/zhpd/ncjr/10379300.shtml" \l "1" \t "https://chat.deepseek.com/a/chat/s/_blank" </w:instrText>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separate"/>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end"/>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。在使用环节，根据数据安全级别采取相应的访问控制与技术保护措施，对敏感级及以上数据的操作进行日志记录，对访问行为实施审计</w:t>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begin"/>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instrText xml:space="preserve"> HYPERLINK "https://www.cet.com.cn/zhpd/ncjr/10379300.shtml" \l "1" \t "https://chat.deepseek.com/a/chat/s/_blank" </w:instrText>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separate"/>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end"/>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。在共享与流转环节，对委托处理、共同处理、转移、公开、共享等数据处理活动事先开展安全评估</w:t>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begin"/>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instrText xml:space="preserve"> HYPERLINK "https://www.cet.com.cn/zhpd/ncjr/10379300.shtml" \l "1" \t "https://chat.deepseek.com/a/chat/s/_blank" </w:instrText>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separate"/>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end"/>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。在存储与销毁环节，建立备份与恢复策略，将备份数据与生产数据分开保存并严格管控访问权限</w:t>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begin"/>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instrText xml:space="preserve"> HYPERLINK "https://www.cet.com.cn/zhpd/ncjr/10379300.shtml" \l "1" \t "https://chat.deepseek.com/a/chat/s/_blank" </w:instrText>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separate"/>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end"/>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。本行将数据纳入网络安全等级保护体系</w:t>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begin"/>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instrText xml:space="preserve"> HYPERLINK "https://www.cet.com.cn/zhpd/ncjr/10379300.shtml" \l "1" \t "https://chat.deepseek.com/a/chat/s/_blank" </w:instrText>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separate"/>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end"/>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，上线全流量分析预警平台；通过私有化部署大模型确保数据安全</w:t>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begin"/>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instrText xml:space="preserve"> HYPERLINK "https://jsjjb.xhby.net/pad/con/202504/02/content_1435844.html" \t "https://chat.deepseek.com/a/chat/s/_blank" </w:instrText>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separate"/>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end"/>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。同时将数据安全保护要求纳入信息系统开发生命周期管理，在需求、设计、开发、测试、上线各阶段嵌入安全评审环节。</w:t>
      </w:r>
    </w:p>
    <w:p>
      <w:pPr>
        <w:pageBreakBefore w:val="0"/>
        <w:widowControl/>
        <w:kinsoku w:val="0"/>
        <w:wordWrap/>
        <w:topLinePunct w:val="0"/>
        <w:autoSpaceDE w:val="0"/>
        <w:autoSpaceDN w:val="0"/>
        <w:bidi w:val="0"/>
        <w:adjustRightInd w:val="0"/>
        <w:snapToGrid w:val="0"/>
        <w:spacing w:before="149" w:beforeLines="50" w:line="240" w:lineRule="auto"/>
        <w:ind w:firstLine="480" w:firstLineChars="200"/>
        <w:textAlignment w:val="baseline"/>
        <w:outlineLvl w:val="2"/>
        <w:rPr>
          <w:rFonts w:hint="default" w:ascii="微软雅黑" w:hAnsi="微软雅黑" w:eastAsia="微软雅黑" w:cs="微软雅黑"/>
          <w:b w:val="0"/>
          <w:bCs/>
          <w:color w:val="000000" w:themeColor="text1"/>
          <w:kern w:val="2"/>
          <w:sz w:val="24"/>
          <w:szCs w:val="24"/>
          <w:lang w:val="en-US" w:eastAsia="zh-CN" w:bidi="ar-SA"/>
          <w14:textFill>
            <w14:solidFill>
              <w14:schemeClr w14:val="tx1"/>
            </w14:solidFill>
          </w14:textFill>
        </w:rPr>
      </w:pPr>
      <w:r>
        <w:rPr>
          <w:rFonts w:hint="eastAsia" w:ascii="微软雅黑" w:hAnsi="微软雅黑" w:eastAsia="微软雅黑" w:cs="微软雅黑"/>
          <w:b w:val="0"/>
          <w:bCs/>
          <w:color w:val="000000" w:themeColor="text1"/>
          <w:kern w:val="2"/>
          <w:sz w:val="24"/>
          <w:szCs w:val="24"/>
          <w:lang w:val="en-US" w:eastAsia="zh-CN" w:bidi="ar-SA"/>
          <w14:textFill>
            <w14:solidFill>
              <w14:schemeClr w14:val="tx1"/>
            </w14:solidFill>
          </w14:textFill>
        </w:rPr>
        <w:t>10.2.5</w:t>
      </w:r>
      <w:r>
        <w:rPr>
          <w:rFonts w:hint="default" w:ascii="微软雅黑" w:hAnsi="微软雅黑" w:eastAsia="微软雅黑" w:cs="微软雅黑"/>
          <w:b w:val="0"/>
          <w:bCs/>
          <w:color w:val="000000" w:themeColor="text1"/>
          <w:kern w:val="2"/>
          <w:sz w:val="24"/>
          <w:szCs w:val="24"/>
          <w:lang w:val="en-US" w:eastAsia="zh-CN" w:bidi="ar-SA"/>
          <w14:textFill>
            <w14:solidFill>
              <w14:schemeClr w14:val="tx1"/>
            </w14:solidFill>
          </w14:textFill>
        </w:rPr>
        <w:t>加强能力建设与人才培养，提升全员数据安全意识</w:t>
      </w:r>
    </w:p>
    <w:p>
      <w:pPr>
        <w:keepNext w:val="0"/>
        <w:keepLines w:val="0"/>
        <w:pageBreakBefore w:val="0"/>
        <w:widowControl/>
        <w:kinsoku/>
        <w:wordWrap/>
        <w:overflowPunct/>
        <w:topLinePunct w:val="0"/>
        <w:autoSpaceDE w:val="0"/>
        <w:autoSpaceDN w:val="0"/>
        <w:bidi w:val="0"/>
        <w:adjustRightInd w:val="0"/>
        <w:snapToGrid w:val="0"/>
        <w:spacing w:before="149" w:beforeLines="50" w:line="240" w:lineRule="auto"/>
        <w:ind w:firstLine="504" w:firstLineChars="200"/>
        <w:textAlignment w:val="baseline"/>
        <w:outlineLvl w:val="9"/>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pP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本行持续强化数据安全人才培养与全员意识提升。2025年5月，组织开展全员网络安全意识、数据安全意识和软件正版化工作培训，通过法律法规学习、典型案例分享，推动全行员工有效防范应对网络安全风险</w:t>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begin"/>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instrText xml:space="preserve"> HYPERLINK "https://www.cet.com.cn/zhpd/ncjr/10209104.shtml" \t "https://chat.deepseek.com/a/chat/s/_blank" </w:instrText>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separate"/>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end"/>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。成立信息科技兴趣小组，聚焦信息科技工作标准化建设、网络安全风险防范、核心数据安全管控以及软件正版化规范管理四大核心内容开展专题培训</w:t>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begin"/>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instrText xml:space="preserve"> HYPERLINK "https://www.cet.com.cn/zhpd/ncjr/10377768.shtml" \t "https://chat.deepseek.com/a/chat/s/_blank" </w:instrText>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separate"/>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end"/>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。成立数字化转型兴趣小组，从数据层、应用层和渠道层系统推进数据能力建设。探索技业融合数字化人才培养路径，成立敏捷开发组织，聚焦日常管理中的痛点难点，以项目实操形成人才历练</w:t>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begin"/>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instrText xml:space="preserve"> HYPERLINK "https://jsjjb.xhby.net/pad/con/202411/18/content_1390608.html" \t "https://chat.deepseek.com/a/chat/s/_blank" </w:instrText>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separate"/>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end"/>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w:t>
      </w:r>
    </w:p>
    <w:p>
      <w:pPr>
        <w:pStyle w:val="2"/>
        <w:keepNext w:val="0"/>
        <w:keepLines w:val="0"/>
        <w:pageBreakBefore w:val="0"/>
        <w:widowControl w:val="0"/>
        <w:kinsoku/>
        <w:wordWrap/>
        <w:overflowPunct/>
        <w:topLinePunct w:val="0"/>
        <w:autoSpaceDE/>
        <w:autoSpaceDN/>
        <w:bidi w:val="0"/>
        <w:adjustRightInd/>
        <w:snapToGrid/>
        <w:spacing w:after="0" w:line="240" w:lineRule="auto"/>
        <w:textAlignment w:val="auto"/>
        <w:rPr>
          <w:rFonts w:hint="eastAsia" w:ascii="仿宋" w:hAnsi="仿宋" w:eastAsia="仿宋" w:cs="仿宋"/>
          <w:b w:val="0"/>
          <w:bCs/>
          <w:snapToGrid w:val="0"/>
          <w:color w:val="auto"/>
          <w:spacing w:val="6"/>
          <w:kern w:val="0"/>
          <w:sz w:val="18"/>
          <w:szCs w:val="18"/>
          <w:lang w:val="en-US" w:eastAsia="zh-CN" w:bidi="ar-SA"/>
        </w:rPr>
      </w:pPr>
      <w:bookmarkStart w:id="48" w:name="_Toc6933"/>
    </w:p>
    <w:p>
      <w:pPr>
        <w:keepNext w:val="0"/>
        <w:keepLines w:val="0"/>
        <w:pageBreakBefore w:val="0"/>
        <w:widowControl/>
        <w:numPr>
          <w:ilvl w:val="0"/>
          <w:numId w:val="0"/>
        </w:numPr>
        <w:kinsoku/>
        <w:wordWrap/>
        <w:overflowPunct/>
        <w:topLinePunct w:val="0"/>
        <w:autoSpaceDE w:val="0"/>
        <w:autoSpaceDN w:val="0"/>
        <w:bidi w:val="0"/>
        <w:adjustRightInd w:val="0"/>
        <w:snapToGrid w:val="0"/>
        <w:spacing w:before="149" w:beforeLines="50" w:line="240" w:lineRule="auto"/>
        <w:ind w:left="0" w:leftChars="0" w:firstLine="0" w:firstLineChars="0"/>
        <w:textAlignment w:val="baseline"/>
        <w:outlineLvl w:val="0"/>
        <w:rPr>
          <w:rFonts w:hint="eastAsia" w:ascii="微软雅黑" w:hAnsi="微软雅黑" w:eastAsia="微软雅黑" w:cs="微软雅黑"/>
          <w:b w:val="0"/>
          <w:bCs/>
          <w:color w:val="000000" w:themeColor="text1"/>
          <w:kern w:val="2"/>
          <w:sz w:val="28"/>
          <w:szCs w:val="28"/>
          <w:lang w:val="en-US" w:eastAsia="zh-CN" w:bidi="ar-SA"/>
          <w14:textFill>
            <w14:solidFill>
              <w14:schemeClr w14:val="tx1"/>
            </w14:solidFill>
          </w14:textFill>
        </w:rPr>
      </w:pPr>
      <w:r>
        <w:rPr>
          <w:rFonts w:hint="eastAsia" w:ascii="微软雅黑" w:hAnsi="微软雅黑" w:eastAsia="微软雅黑" w:cs="微软雅黑"/>
          <w:b w:val="0"/>
          <w:bCs/>
          <w:color w:val="000000" w:themeColor="text1"/>
          <w:kern w:val="2"/>
          <w:sz w:val="28"/>
          <w:szCs w:val="28"/>
          <w:lang w:val="en-US" w:eastAsia="zh-CN" w:bidi="ar-SA"/>
          <w14:textFill>
            <w14:solidFill>
              <w14:schemeClr w14:val="tx1"/>
            </w14:solidFill>
          </w14:textFill>
        </w:rPr>
        <w:t>10.3 数据安全应急预案</w:t>
      </w:r>
      <w:bookmarkEnd w:id="48"/>
    </w:p>
    <w:p>
      <w:pPr>
        <w:keepNext w:val="0"/>
        <w:keepLines w:val="0"/>
        <w:pageBreakBefore w:val="0"/>
        <w:widowControl/>
        <w:kinsoku/>
        <w:wordWrap/>
        <w:overflowPunct/>
        <w:topLinePunct w:val="0"/>
        <w:autoSpaceDE w:val="0"/>
        <w:autoSpaceDN w:val="0"/>
        <w:bidi w:val="0"/>
        <w:adjustRightInd w:val="0"/>
        <w:snapToGrid w:val="0"/>
        <w:spacing w:before="149" w:beforeLines="50" w:line="240" w:lineRule="auto"/>
        <w:ind w:firstLine="504" w:firstLineChars="200"/>
        <w:textAlignment w:val="baseline"/>
        <w:outlineLvl w:val="9"/>
        <w:rPr>
          <w:rFonts w:hint="eastAsia" w:ascii="仿宋" w:hAnsi="仿宋" w:eastAsia="仿宋" w:cs="仿宋"/>
          <w:b w:val="0"/>
          <w:bCs/>
          <w:snapToGrid w:val="0"/>
          <w:color w:val="000000" w:themeColor="text1"/>
          <w:spacing w:val="6"/>
          <w:kern w:val="0"/>
          <w:sz w:val="24"/>
          <w:szCs w:val="24"/>
          <w:lang w:val="en-US" w:eastAsia="zh-CN"/>
          <w14:textFill>
            <w14:solidFill>
              <w14:schemeClr w14:val="tx1"/>
            </w14:solidFill>
          </w14:textFill>
        </w:rPr>
      </w:pP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本行将数据安全风险纳入全面风险管理体系</w:t>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begin"/>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instrText xml:space="preserve"> HYPERLINK "http://dfjrjgj.shandong.gov.cn/articles/ch06816/202501/372e11da-499a-41e4-823c-f86f13260bd7.shtml" \t "https://chat.deepseek.com/a/chat/s/_blank" </w:instrText>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separate"/>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end"/>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，建立数据安全风险监测、风险评估、应急响应及报告、事件处置的组织架构和管理流程</w:t>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begin"/>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instrText xml:space="preserve"> HYPERLINK "https://www.nfra.gov.cn/cn/view/pages/ItemDetail.html?docId=1192305&amp;itemId=915" \t "https://chat.deepseek.com/a/chat/s/_blank" </w:instrText>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separate"/>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end"/>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。本行制定数据安全事件应急预案，定期开展应急响应培训和应急演练</w:t>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begin"/>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instrText xml:space="preserve"> HYPERLINK "https://www.financialnews.com.cn/m/2025-01/07/content_416064.html" \t "https://chat.deepseek.com/a/chat/s/_blank" </w:instrText>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separate"/>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end"/>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。数据安全事件发生后，本行立即启动应急处置机制，分析事件原因、评估事件影响、按照预案及时采取业务、技术等措施控制事态</w:t>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begin"/>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instrText xml:space="preserve"> HYPERLINK "https://www.financialnews.com.cn/m/2025-01/07/content_416064.html" \t "https://chat.deepseek.com/a/chat/s/_blank" </w:instrText>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separate"/>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fldChar w:fldCharType="end"/>
      </w: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，确保数据安全风险得到有效防范和及时处置</w:t>
      </w:r>
      <w:r>
        <w:rPr>
          <w:rFonts w:hint="eastAsia"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w:t>
      </w:r>
      <w:r>
        <w:rPr>
          <w:rFonts w:hint="eastAsia" w:ascii="仿宋" w:hAnsi="仿宋" w:eastAsia="仿宋" w:cs="仿宋"/>
          <w:b w:val="0"/>
          <w:bCs/>
          <w:snapToGrid w:val="0"/>
          <w:color w:val="000000" w:themeColor="text1"/>
          <w:spacing w:val="6"/>
          <w:kern w:val="0"/>
          <w:sz w:val="24"/>
          <w:szCs w:val="24"/>
          <w:lang w:val="en-US" w:eastAsia="zh-CN"/>
          <w14:textFill>
            <w14:solidFill>
              <w14:schemeClr w14:val="tx1"/>
            </w14:solidFill>
          </w14:textFill>
        </w:rPr>
        <w:br w:type="page"/>
      </w:r>
    </w:p>
    <w:p>
      <w:pPr>
        <w:pStyle w:val="18"/>
        <w:keepNext w:val="0"/>
        <w:keepLines w:val="0"/>
        <w:pageBreakBefore w:val="0"/>
        <w:numPr>
          <w:ilvl w:val="0"/>
          <w:numId w:val="6"/>
        </w:numPr>
        <w:tabs>
          <w:tab w:val="right" w:leader="dot" w:pos="9897"/>
        </w:tabs>
        <w:kinsoku/>
        <w:wordWrap/>
        <w:overflowPunct/>
        <w:topLinePunct w:val="0"/>
        <w:bidi w:val="0"/>
        <w:adjustRightInd w:val="0"/>
        <w:snapToGrid w:val="0"/>
        <w:spacing w:line="240" w:lineRule="auto"/>
        <w:ind w:left="0" w:leftChars="0" w:firstLine="0" w:firstLineChars="0"/>
        <w:jc w:val="center"/>
        <w:outlineLvl w:val="0"/>
        <w:rPr>
          <w:rFonts w:hint="eastAsia" w:ascii="微软雅黑" w:hAnsi="微软雅黑" w:eastAsia="微软雅黑" w:cs="微软雅黑"/>
          <w:b w:val="0"/>
          <w:bCs/>
          <w:color w:val="00B050"/>
          <w:kern w:val="2"/>
          <w:sz w:val="32"/>
          <w:szCs w:val="32"/>
          <w:lang w:val="en-US" w:eastAsia="zh-CN" w:bidi="ar-SA"/>
        </w:rPr>
      </w:pPr>
      <w:bookmarkStart w:id="49" w:name="_Toc27184"/>
      <w:r>
        <w:rPr>
          <w:rFonts w:hint="eastAsia" w:ascii="微软雅黑" w:hAnsi="微软雅黑" w:eastAsia="微软雅黑" w:cs="微软雅黑"/>
          <w:b w:val="0"/>
          <w:bCs/>
          <w:color w:val="00B050"/>
          <w:kern w:val="2"/>
          <w:sz w:val="32"/>
          <w:szCs w:val="32"/>
          <w:lang w:val="en-US" w:eastAsia="zh-CN" w:bidi="ar-SA"/>
        </w:rPr>
        <w:t>未来展望</w:t>
      </w:r>
      <w:bookmarkEnd w:id="49"/>
    </w:p>
    <w:p>
      <w:pPr>
        <w:keepNext w:val="0"/>
        <w:keepLines w:val="0"/>
        <w:pageBreakBefore w:val="0"/>
        <w:widowControl/>
        <w:numPr>
          <w:ilvl w:val="0"/>
          <w:numId w:val="0"/>
        </w:numPr>
        <w:kinsoku/>
        <w:wordWrap/>
        <w:overflowPunct/>
        <w:topLinePunct w:val="0"/>
        <w:autoSpaceDE w:val="0"/>
        <w:autoSpaceDN w:val="0"/>
        <w:bidi w:val="0"/>
        <w:adjustRightInd w:val="0"/>
        <w:snapToGrid w:val="0"/>
        <w:spacing w:before="149" w:beforeLines="50" w:line="240" w:lineRule="auto"/>
        <w:ind w:left="0" w:leftChars="0" w:firstLine="0" w:firstLineChars="0"/>
        <w:textAlignment w:val="baseline"/>
        <w:outlineLvl w:val="0"/>
        <w:rPr>
          <w:rFonts w:hint="eastAsia" w:ascii="微软雅黑" w:hAnsi="微软雅黑" w:eastAsia="微软雅黑" w:cs="微软雅黑"/>
          <w:b w:val="0"/>
          <w:bCs/>
          <w:color w:val="000000" w:themeColor="text1"/>
          <w:kern w:val="2"/>
          <w:sz w:val="28"/>
          <w:szCs w:val="28"/>
          <w:lang w:val="en-US" w:eastAsia="zh-CN" w:bidi="ar-SA"/>
          <w14:textFill>
            <w14:solidFill>
              <w14:schemeClr w14:val="tx1"/>
            </w14:solidFill>
          </w14:textFill>
        </w:rPr>
      </w:pPr>
      <w:bookmarkStart w:id="50" w:name="_Toc26061"/>
      <w:r>
        <w:rPr>
          <w:rFonts w:hint="eastAsia" w:ascii="微软雅黑" w:hAnsi="微软雅黑" w:eastAsia="微软雅黑" w:cs="微软雅黑"/>
          <w:b w:val="0"/>
          <w:bCs/>
          <w:color w:val="000000" w:themeColor="text1"/>
          <w:kern w:val="2"/>
          <w:sz w:val="28"/>
          <w:szCs w:val="28"/>
          <w:lang w:val="en-US" w:eastAsia="zh-CN" w:bidi="ar-SA"/>
          <w14:textFill>
            <w14:solidFill>
              <w14:schemeClr w14:val="tx1"/>
            </w14:solidFill>
          </w14:textFill>
        </w:rPr>
        <w:t>11.1 绿色金融未来展望</w:t>
      </w:r>
      <w:bookmarkEnd w:id="50"/>
    </w:p>
    <w:p>
      <w:pPr>
        <w:keepNext w:val="0"/>
        <w:keepLines w:val="0"/>
        <w:pageBreakBefore w:val="0"/>
        <w:widowControl/>
        <w:kinsoku/>
        <w:wordWrap/>
        <w:overflowPunct/>
        <w:topLinePunct w:val="0"/>
        <w:autoSpaceDE w:val="0"/>
        <w:autoSpaceDN w:val="0"/>
        <w:bidi w:val="0"/>
        <w:adjustRightInd w:val="0"/>
        <w:snapToGrid w:val="0"/>
        <w:spacing w:before="149" w:beforeLines="50" w:line="240" w:lineRule="auto"/>
        <w:ind w:firstLine="504" w:firstLineChars="200"/>
        <w:textAlignment w:val="baseline"/>
        <w:outlineLvl w:val="9"/>
        <w:rPr>
          <w:rFonts w:hint="eastAsia"/>
          <w:lang w:val="en-US" w:eastAsia="zh-CN"/>
        </w:rPr>
      </w:pPr>
      <w:r>
        <w:rPr>
          <w:rFonts w:hint="default" w:ascii="仿宋" w:hAnsi="仿宋" w:eastAsia="仿宋" w:cs="仿宋"/>
          <w:b w:val="0"/>
          <w:bCs/>
          <w:snapToGrid w:val="0"/>
          <w:color w:val="000000" w:themeColor="text1"/>
          <w:spacing w:val="6"/>
          <w:kern w:val="0"/>
          <w:sz w:val="24"/>
          <w:szCs w:val="24"/>
          <w:lang w:val="en-US" w:eastAsia="zh-CN"/>
          <w14:textFill>
            <w14:solidFill>
              <w14:schemeClr w14:val="tx1"/>
            </w14:solidFill>
          </w14:textFill>
        </w:rPr>
        <w:t>习近平总书记曾强调“犯其至难而图其至远 ”。新征程的号角已经吹响，改革的浪潮奔涌向前，我们将以“功成不必在我 ”的精神境界和“功成必定有我 ”的历史担当，锚定目标不放松，笃行实干再出发。在转型发展的赛道上跑出加速度，在攻坚克难的战场上展现新作为，以奋斗者的姿态、实干家的劲头，奋力谱写扬州农商银行高质量发展的崭新篇章！为服务中国式现代化扬州新实践贡献更强农商力量！</w:t>
      </w:r>
    </w:p>
    <w:sectPr>
      <w:headerReference r:id="rId18" w:type="default"/>
      <w:footerReference r:id="rId19" w:type="default"/>
      <w:pgSz w:w="11906" w:h="16838"/>
      <w:pgMar w:top="998" w:right="998" w:bottom="1451" w:left="1338" w:header="851" w:footer="992" w:gutter="0"/>
      <w:pgBorders>
        <w:top w:val="none" w:sz="0" w:space="0"/>
        <w:left w:val="none" w:sz="0" w:space="0"/>
        <w:bottom w:val="none" w:sz="0" w:space="0"/>
        <w:right w:val="none" w:sz="0" w:space="0"/>
      </w:pgBorders>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B499C52-73A5-454C-BC43-FEDFB83927D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panose1 w:val="03000509000000000000"/>
    <w:charset w:val="86"/>
    <w:family w:val="auto"/>
    <w:pitch w:val="default"/>
    <w:sig w:usb0="00000001" w:usb1="080E0000" w:usb2="00000000" w:usb3="00000000" w:csb0="00040000" w:csb1="00000000"/>
    <w:embedRegular r:id="rId2" w:fontKey="{0664B6E1-DEE6-4257-87A8-349CE01BE7EB}"/>
  </w:font>
  <w:font w:name="方正黑体_GBK">
    <w:altName w:val="微软雅黑"/>
    <w:panose1 w:val="03000509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embedRegular r:id="rId3" w:fontKey="{7D1D53CF-E125-48F2-AF4E-B71EF88F02EF}"/>
  </w:font>
  <w:font w:name="仿宋">
    <w:panose1 w:val="02010609060101010101"/>
    <w:charset w:val="86"/>
    <w:family w:val="modern"/>
    <w:pitch w:val="default"/>
    <w:sig w:usb0="800002BF" w:usb1="38CF7CFA" w:usb2="00000016" w:usb3="00000000" w:csb0="00040001" w:csb1="00000000"/>
    <w:embedRegular r:id="rId4" w:fontKey="{377CC80D-6B62-4015-AF5F-ECCFAB61C720}"/>
  </w:font>
  <w:font w:name="方正小标宋_GBK">
    <w:altName w:val="微软雅黑"/>
    <w:panose1 w:val="03000502000000000000"/>
    <w:charset w:val="86"/>
    <w:family w:val="auto"/>
    <w:pitch w:val="default"/>
    <w:sig w:usb0="00000000" w:usb1="00000000" w:usb2="00000000" w:usb3="00000000" w:csb0="00040000" w:csb1="00000000"/>
  </w:font>
  <w:font w:name="Calibri Light">
    <w:panose1 w:val="020F0302020204030204"/>
    <w:charset w:val="00"/>
    <w:family w:val="swiss"/>
    <w:pitch w:val="default"/>
    <w:sig w:usb0="E4002EFF" w:usb1="C000247B" w:usb2="00000009" w:usb3="00000000" w:csb0="200001FF" w:csb1="00000000"/>
  </w:font>
  <w:font w:name="Arial Unicode MS">
    <w:altName w:val="宋体"/>
    <w:panose1 w:val="020B0604020202020204"/>
    <w:charset w:val="86"/>
    <w:family w:val="swiss"/>
    <w:pitch w:val="default"/>
    <w:sig w:usb0="00000000" w:usb1="00000000" w:usb2="0000003F" w:usb3="00000000" w:csb0="603F01FF" w:csb1="FFFF0000"/>
  </w:font>
  <w:font w:name="方正大黑简体">
    <w:altName w:val="黑体"/>
    <w:panose1 w:val="02000000000000000000"/>
    <w:charset w:val="86"/>
    <w:family w:val="auto"/>
    <w:pitch w:val="default"/>
    <w:sig w:usb0="00000000" w:usb1="00000000" w:usb2="00000012" w:usb3="00000000" w:csb0="00040001" w:csb1="00000000"/>
    <w:embedRegular r:id="rId5" w:fontKey="{A9D4D6BA-80A6-4171-B5DC-2A0ACAD46000}"/>
  </w:font>
  <w:font w:name="Segoe UI">
    <w:panose1 w:val="020B0502040204020203"/>
    <w:charset w:val="00"/>
    <w:family w:val="auto"/>
    <w:pitch w:val="default"/>
    <w:sig w:usb0="E4002EFF" w:usb1="C000E47F" w:usb2="00000009" w:usb3="00000000" w:csb0="200001FF" w:csb1="00000000"/>
    <w:embedRegular r:id="rId6" w:fontKey="{26AC2EFC-6F4E-4C7A-82BD-CA979121673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tabs>
        <w:tab w:val="left" w:pos="6240"/>
        <w:tab w:val="clear" w:pos="4153"/>
      </w:tabs>
      <w:ind w:left="0" w:leftChars="0" w:firstLine="0" w:firstLineChars="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tabs>
        <w:tab w:val="left" w:pos="6240"/>
        <w:tab w:val="clear" w:pos="4153"/>
      </w:tabs>
      <w:ind w:left="0" w:leftChars="0" w:firstLine="0" w:firstLineChars="0"/>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4"/>
                          </w:pPr>
                          <w:r>
                            <w:t xml:space="preserve">第 </w:t>
                          </w:r>
                          <w:r>
                            <w:fldChar w:fldCharType="begin"/>
                          </w:r>
                          <w:r>
                            <w:instrText xml:space="preserve"> PAGE  \* MERGEFORMAT </w:instrText>
                          </w:r>
                          <w:r>
                            <w:fldChar w:fldCharType="separate"/>
                          </w:r>
                          <w:r>
                            <w:t>2</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pPr>
                      <w:pStyle w:val="14"/>
                    </w:pPr>
                    <w:r>
                      <w:t xml:space="preserve">第 </w:t>
                    </w:r>
                    <w:r>
                      <w:fldChar w:fldCharType="begin"/>
                    </w:r>
                    <w:r>
                      <w:instrText xml:space="preserve"> PAGE  \* MERGEFORMAT </w:instrText>
                    </w:r>
                    <w:r>
                      <w:fldChar w:fldCharType="separate"/>
                    </w:r>
                    <w:r>
                      <w:t>2</w:t>
                    </w:r>
                    <w:r>
                      <w:fldChar w:fldCharType="end"/>
                    </w:r>
                    <w:r>
                      <w:t xml:space="preserve"> 页</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ind w:right="-58" w:firstLine="0" w:firstLineChars="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ind w:right="-58" w:firstLine="0" w:firstLineChars="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4"/>
                          </w:pPr>
                          <w:r>
                            <w:t xml:space="preserve">第 </w:t>
                          </w:r>
                          <w:r>
                            <w:fldChar w:fldCharType="begin"/>
                          </w:r>
                          <w:r>
                            <w:instrText xml:space="preserve"> PAGE  \* MERGEFORMAT </w:instrText>
                          </w:r>
                          <w:r>
                            <w:fldChar w:fldCharType="separate"/>
                          </w:r>
                          <w:r>
                            <w:t>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14"/>
                    </w:pPr>
                    <w:r>
                      <w:t xml:space="preserve">第 </w:t>
                    </w:r>
                    <w:r>
                      <w:fldChar w:fldCharType="begin"/>
                    </w:r>
                    <w:r>
                      <w:instrText xml:space="preserve"> PAGE  \* MERGEFORMAT </w:instrText>
                    </w:r>
                    <w:r>
                      <w:fldChar w:fldCharType="separate"/>
                    </w:r>
                    <w:r>
                      <w:t>1</w:t>
                    </w:r>
                    <w:r>
                      <w:fldChar w:fldCharType="end"/>
                    </w:r>
                    <w:r>
                      <w:t xml:space="preserve"> 页</w:t>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ind w:right="-58" w:firstLine="0" w:firstLineChars="0"/>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4"/>
                          </w:pPr>
                          <w:r>
                            <w:t xml:space="preserve">第 </w:t>
                          </w:r>
                          <w:r>
                            <w:fldChar w:fldCharType="begin"/>
                          </w:r>
                          <w:r>
                            <w:instrText xml:space="preserve"> PAGE  \* MERGEFORMAT </w:instrText>
                          </w:r>
                          <w:r>
                            <w:fldChar w:fldCharType="separate"/>
                          </w:r>
                          <w:r>
                            <w:t>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pPr>
                      <w:pStyle w:val="14"/>
                    </w:pPr>
                    <w:r>
                      <w:t xml:space="preserve">第 </w:t>
                    </w:r>
                    <w:r>
                      <w:fldChar w:fldCharType="begin"/>
                    </w:r>
                    <w:r>
                      <w:instrText xml:space="preserve"> PAGE  \* MERGEFORMAT </w:instrText>
                    </w:r>
                    <w:r>
                      <w:fldChar w:fldCharType="separate"/>
                    </w:r>
                    <w:r>
                      <w:t>1</w:t>
                    </w:r>
                    <w:r>
                      <w:fldChar w:fldCharType="end"/>
                    </w:r>
                    <w:r>
                      <w:t xml:space="preserve"> 页</w:t>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ind w:right="-58" w:firstLine="0" w:firstLineChars="0"/>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4"/>
                          </w:pPr>
                          <w:r>
                            <w:t xml:space="preserve">第 </w:t>
                          </w:r>
                          <w:r>
                            <w:fldChar w:fldCharType="begin"/>
                          </w:r>
                          <w:r>
                            <w:instrText xml:space="preserve"> PAGE  \* MERGEFORMAT </w:instrText>
                          </w:r>
                          <w:r>
                            <w:fldChar w:fldCharType="separate"/>
                          </w:r>
                          <w:r>
                            <w:t>25</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pPr>
                      <w:pStyle w:val="14"/>
                    </w:pPr>
                    <w:r>
                      <w:t xml:space="preserve">第 </w:t>
                    </w:r>
                    <w:r>
                      <w:fldChar w:fldCharType="begin"/>
                    </w:r>
                    <w:r>
                      <w:instrText xml:space="preserve"> PAGE  \* MERGEFORMAT </w:instrText>
                    </w:r>
                    <w:r>
                      <w:fldChar w:fldCharType="separate"/>
                    </w:r>
                    <w:r>
                      <w:t>25</w:t>
                    </w:r>
                    <w:r>
                      <w:fldChar w:fldCharType="end"/>
                    </w:r>
                    <w:r>
                      <w:t xml:space="preserve"> 页</w:t>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ind w:firstLine="360"/>
      <w:jc w:val="both"/>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4"/>
                          </w:pPr>
                          <w:r>
                            <w:t xml:space="preserve">第 </w:t>
                          </w:r>
                          <w:r>
                            <w:fldChar w:fldCharType="begin"/>
                          </w:r>
                          <w:r>
                            <w:instrText xml:space="preserve"> PAGE  \* MERGEFORMAT </w:instrText>
                          </w:r>
                          <w:r>
                            <w:fldChar w:fldCharType="separate"/>
                          </w:r>
                          <w:r>
                            <w:t>26</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pPr>
                      <w:pStyle w:val="14"/>
                    </w:pPr>
                    <w:r>
                      <w:t xml:space="preserve">第 </w:t>
                    </w:r>
                    <w:r>
                      <w:fldChar w:fldCharType="begin"/>
                    </w:r>
                    <w:r>
                      <w:instrText xml:space="preserve"> PAGE  \* MERGEFORMAT </w:instrText>
                    </w:r>
                    <w:r>
                      <w:fldChar w:fldCharType="separate"/>
                    </w:r>
                    <w:r>
                      <w:t>26</w:t>
                    </w:r>
                    <w:r>
                      <w:fldChar w:fldCharType="end"/>
                    </w:r>
                    <w:r>
                      <w:t xml:space="preserve"> 页</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640"/>
      </w:pPr>
      <w:r>
        <w:separator/>
      </w:r>
    </w:p>
  </w:footnote>
  <w:footnote w:type="continuationSeparator" w:id="1">
    <w:p>
      <w:pPr>
        <w:spacing w:line="360"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ind w:left="0" w:leftChars="0" w:firstLine="0" w:firstLineChars="0"/>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ind w:firstLine="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ind w:firstLine="36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0" w:firstLineChars="0"/>
      <w:jc w:val="center"/>
      <w:rPr>
        <w:b/>
        <w:bCs/>
        <w:sz w:val="21"/>
        <w:szCs w:val="16"/>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tabs>
        <w:tab w:val="clear" w:pos="4153"/>
      </w:tabs>
      <w:ind w:firstLine="360"/>
      <w:jc w:val="right"/>
    </w:pPr>
    <w:r>
      <w:rPr>
        <w:rFonts w:hint="eastAsia"/>
        <w:lang w:eastAsia="zh-CN"/>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D3C43EF"/>
    <w:multiLevelType w:val="multilevel"/>
    <w:tmpl w:val="BD3C43EF"/>
    <w:lvl w:ilvl="0" w:tentative="0">
      <w:start w:val="1"/>
      <w:numFmt w:val="chineseCounting"/>
      <w:lvlText w:val="%1、"/>
      <w:lvlJc w:val="left"/>
      <w:pPr>
        <w:ind w:left="432" w:hanging="432"/>
      </w:pPr>
      <w:rPr>
        <w:rFonts w:hint="eastAsia" w:ascii="Times New Roman" w:hAnsi="Times New Roman" w:eastAsia="方正黑体_GBK"/>
        <w:b/>
        <w:bCs/>
        <w:sz w:val="32"/>
        <w:szCs w:val="32"/>
      </w:rPr>
    </w:lvl>
    <w:lvl w:ilvl="1" w:tentative="0">
      <w:start w:val="1"/>
      <w:numFmt w:val="decimal"/>
      <w:lvlText w:val="%2"/>
      <w:lvlJc w:val="left"/>
      <w:pPr>
        <w:ind w:left="575" w:hanging="575"/>
      </w:pPr>
      <w:rPr>
        <w:rFonts w:hint="eastAsia" w:ascii="宋体" w:hAnsi="宋体" w:eastAsia="宋体" w:cs="宋体"/>
        <w:b/>
      </w:rPr>
    </w:lvl>
    <w:lvl w:ilvl="2" w:tentative="0">
      <w:start w:val="1"/>
      <w:numFmt w:val="decimal"/>
      <w:lvlText w:val="%1.%2.%3"/>
      <w:lvlJc w:val="left"/>
      <w:pPr>
        <w:ind w:left="720" w:hanging="720"/>
      </w:pPr>
      <w:rPr>
        <w:rFonts w:hint="eastAsia" w:ascii="Times New Roman" w:hAnsi="Times New Roman" w:eastAsia="宋体" w:cs="Times New Roman"/>
        <w:b/>
      </w:rPr>
    </w:lvl>
    <w:lvl w:ilvl="3" w:tentative="0">
      <w:start w:val="1"/>
      <w:numFmt w:val="decimal"/>
      <w:pStyle w:val="6"/>
      <w:lvlText w:val="%1.%2.%3.%4"/>
      <w:lvlJc w:val="left"/>
      <w:pPr>
        <w:ind w:left="864" w:hanging="864"/>
      </w:pPr>
      <w:rPr>
        <w:rFonts w:hint="eastAsia" w:ascii="Times New Roman" w:hAnsi="Times New Roman" w:eastAsia="宋体" w:cs="Times New Roman"/>
      </w:rPr>
    </w:lvl>
    <w:lvl w:ilvl="4" w:tentative="0">
      <w:start w:val="1"/>
      <w:numFmt w:val="decimal"/>
      <w:pStyle w:val="7"/>
      <w:lvlText w:val="%1.%2.%3.%4.%5."/>
      <w:lvlJc w:val="left"/>
      <w:pPr>
        <w:ind w:left="1008" w:hanging="1008"/>
      </w:pPr>
      <w:rPr>
        <w:rFonts w:hint="eastAsia"/>
      </w:rPr>
    </w:lvl>
    <w:lvl w:ilvl="5" w:tentative="0">
      <w:start w:val="1"/>
      <w:numFmt w:val="decimal"/>
      <w:pStyle w:val="8"/>
      <w:lvlText w:val="%1.%2.%3.%4.%5.%6."/>
      <w:lvlJc w:val="left"/>
      <w:pPr>
        <w:ind w:left="1151" w:hanging="1151"/>
      </w:pPr>
      <w:rPr>
        <w:rFonts w:hint="eastAsia"/>
      </w:rPr>
    </w:lvl>
    <w:lvl w:ilvl="6" w:tentative="0">
      <w:start w:val="1"/>
      <w:numFmt w:val="decimal"/>
      <w:pStyle w:val="9"/>
      <w:lvlText w:val="%1.%2.%3.%4.%5.%6.%7."/>
      <w:lvlJc w:val="left"/>
      <w:pPr>
        <w:ind w:left="1296" w:hanging="1296"/>
      </w:pPr>
      <w:rPr>
        <w:rFonts w:hint="eastAsia"/>
      </w:rPr>
    </w:lvl>
    <w:lvl w:ilvl="7" w:tentative="0">
      <w:start w:val="1"/>
      <w:numFmt w:val="decimal"/>
      <w:pStyle w:val="10"/>
      <w:lvlText w:val="%1.%2.%3.%4.%5.%6.%7.%8."/>
      <w:lvlJc w:val="left"/>
      <w:pPr>
        <w:ind w:left="1440" w:hanging="1440"/>
      </w:pPr>
      <w:rPr>
        <w:rFonts w:hint="eastAsia"/>
      </w:rPr>
    </w:lvl>
    <w:lvl w:ilvl="8" w:tentative="0">
      <w:start w:val="1"/>
      <w:numFmt w:val="decimal"/>
      <w:pStyle w:val="11"/>
      <w:lvlText w:val="%1.%2.%3.%4.%5.%6.%7.%8.%9."/>
      <w:lvlJc w:val="left"/>
      <w:pPr>
        <w:ind w:left="1583" w:hanging="1583"/>
      </w:pPr>
      <w:rPr>
        <w:rFonts w:hint="eastAsia"/>
      </w:rPr>
    </w:lvl>
  </w:abstractNum>
  <w:abstractNum w:abstractNumId="1">
    <w:nsid w:val="D85B95F3"/>
    <w:multiLevelType w:val="singleLevel"/>
    <w:tmpl w:val="D85B95F3"/>
    <w:lvl w:ilvl="0" w:tentative="0">
      <w:start w:val="1"/>
      <w:numFmt w:val="decimal"/>
      <w:pStyle w:val="29"/>
      <w:lvlText w:val="表%1"/>
      <w:lvlJc w:val="left"/>
      <w:pPr>
        <w:tabs>
          <w:tab w:val="left" w:pos="420"/>
        </w:tabs>
        <w:ind w:left="0" w:firstLine="0"/>
      </w:pPr>
      <w:rPr>
        <w:rFonts w:hint="default" w:ascii="Times New Roman" w:hAnsi="Times New Roman" w:eastAsia="方正仿宋_GBK"/>
        <w:b/>
        <w:bCs/>
        <w:sz w:val="32"/>
        <w:szCs w:val="32"/>
      </w:rPr>
    </w:lvl>
  </w:abstractNum>
  <w:abstractNum w:abstractNumId="2">
    <w:nsid w:val="1FC91163"/>
    <w:multiLevelType w:val="multilevel"/>
    <w:tmpl w:val="1FC91163"/>
    <w:lvl w:ilvl="0" w:tentative="0">
      <w:start w:val="1"/>
      <w:numFmt w:val="decimal"/>
      <w:suff w:val="nothing"/>
      <w:lvlText w:val="%1　"/>
      <w:lvlJc w:val="left"/>
      <w:pPr>
        <w:ind w:left="0" w:firstLine="0"/>
      </w:pPr>
      <w:rPr>
        <w:rFonts w:hint="eastAsia" w:ascii="黑体" w:hAnsi="Times New Roman" w:eastAsia="黑体"/>
        <w:b w:val="0"/>
        <w:i w:val="0"/>
        <w:sz w:val="21"/>
        <w:szCs w:val="21"/>
      </w:rPr>
    </w:lvl>
    <w:lvl w:ilvl="1" w:tentative="0">
      <w:start w:val="1"/>
      <w:numFmt w:val="decimal"/>
      <w:suff w:val="nothing"/>
      <w:lvlText w:val="%1.%2　"/>
      <w:lvlJc w:val="left"/>
      <w:pPr>
        <w:ind w:left="360" w:firstLine="0"/>
      </w:pPr>
      <w:rPr>
        <w:rFonts w:hint="eastAsia" w:ascii="黑体" w:hAnsi="Times New Roman" w:eastAsia="黑体" w:cs="Times New Roman"/>
        <w:b w:val="0"/>
        <w:bCs w:val="0"/>
        <w:i w:val="0"/>
        <w:iCs w:val="0"/>
        <w:caps w:val="0"/>
        <w:strike w:val="0"/>
        <w:dstrike w:val="0"/>
        <w:spacing w:val="0"/>
        <w:kern w:val="0"/>
        <w:position w:val="0"/>
        <w:sz w:val="21"/>
        <w:szCs w:val="21"/>
        <w:u w:val="none"/>
      </w:rPr>
    </w:lvl>
    <w:lvl w:ilvl="2" w:tentative="0">
      <w:start w:val="1"/>
      <w:numFmt w:val="decimal"/>
      <w:pStyle w:val="41"/>
      <w:suff w:val="nothing"/>
      <w:lvlText w:val="%1.%2.%3　"/>
      <w:lvlJc w:val="left"/>
      <w:pPr>
        <w:ind w:left="3828" w:firstLine="0"/>
      </w:pPr>
      <w:rPr>
        <w:rFonts w:hint="eastAsia" w:ascii="黑体" w:hAnsi="Times New Roman" w:eastAsia="黑体"/>
        <w:b w:val="0"/>
        <w:i w:val="0"/>
        <w:sz w:val="21"/>
        <w:lang w:eastAsia="zh-TW"/>
      </w:rPr>
    </w:lvl>
    <w:lvl w:ilvl="3" w:tentative="0">
      <w:start w:val="1"/>
      <w:numFmt w:val="decimal"/>
      <w:suff w:val="nothing"/>
      <w:lvlText w:val="%1.%2.%3.%4　"/>
      <w:lvlJc w:val="left"/>
      <w:pPr>
        <w:ind w:left="0"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3">
    <w:nsid w:val="2E9CC93E"/>
    <w:multiLevelType w:val="multilevel"/>
    <w:tmpl w:val="2E9CC93E"/>
    <w:lvl w:ilvl="0" w:tentative="0">
      <w:start w:val="1"/>
      <w:numFmt w:val="chineseCounting"/>
      <w:suff w:val="space"/>
      <w:lvlText w:val="%1"/>
      <w:lvlJc w:val="left"/>
      <w:pPr>
        <w:tabs>
          <w:tab w:val="left" w:pos="0"/>
        </w:tabs>
        <w:ind w:left="425" w:hanging="425"/>
      </w:pPr>
      <w:rPr>
        <w:rFonts w:hint="eastAsia" w:ascii="宋体" w:hAnsi="宋体" w:eastAsia="宋体" w:cs="宋体"/>
      </w:rPr>
    </w:lvl>
    <w:lvl w:ilvl="1" w:tentative="0">
      <w:start w:val="1"/>
      <w:numFmt w:val="decimal"/>
      <w:isLgl/>
      <w:suff w:val="space"/>
      <w:lvlText w:val="%1.%2"/>
      <w:lvlJc w:val="left"/>
      <w:pPr>
        <w:tabs>
          <w:tab w:val="left" w:pos="0"/>
        </w:tabs>
        <w:ind w:left="567" w:hanging="567"/>
      </w:pPr>
      <w:rPr>
        <w:rFonts w:hint="eastAsia" w:ascii="宋体" w:hAnsi="宋体" w:eastAsia="宋体" w:cs="宋体"/>
      </w:rPr>
    </w:lvl>
    <w:lvl w:ilvl="2" w:tentative="0">
      <w:start w:val="1"/>
      <w:numFmt w:val="decimal"/>
      <w:pStyle w:val="5"/>
      <w:isLgl/>
      <w:suff w:val="space"/>
      <w:lvlText w:val="%1.%2.%3"/>
      <w:lvlJc w:val="left"/>
      <w:pPr>
        <w:tabs>
          <w:tab w:val="left" w:pos="420"/>
        </w:tabs>
        <w:ind w:left="709" w:hanging="709"/>
      </w:pPr>
      <w:rPr>
        <w:rFonts w:hint="eastAsia" w:ascii="宋体" w:hAnsi="宋体" w:eastAsia="宋体" w:cs="宋体"/>
      </w:rPr>
    </w:lvl>
    <w:lvl w:ilvl="3" w:tentative="0">
      <w:start w:val="1"/>
      <w:numFmt w:val="decimal"/>
      <w:lvlText w:val="%1.%2.%3.%4."/>
      <w:lvlJc w:val="left"/>
      <w:pPr>
        <w:ind w:left="850" w:hanging="850"/>
      </w:pPr>
      <w:rPr>
        <w:rFonts w:hint="eastAsia"/>
      </w:rPr>
    </w:lvl>
    <w:lvl w:ilvl="4" w:tentative="0">
      <w:start w:val="1"/>
      <w:numFmt w:val="decimal"/>
      <w:lvlText w:val="%1.%2.%3.%4.%5."/>
      <w:lvlJc w:val="left"/>
      <w:pPr>
        <w:ind w:left="991" w:hanging="991"/>
      </w:pPr>
      <w:rPr>
        <w:rFonts w:hint="eastAsia"/>
      </w:rPr>
    </w:lvl>
    <w:lvl w:ilvl="5" w:tentative="0">
      <w:start w:val="1"/>
      <w:numFmt w:val="decimal"/>
      <w:lvlText w:val="%1.%2.%3.%4.%5.%6."/>
      <w:lvlJc w:val="left"/>
      <w:pPr>
        <w:ind w:left="1134" w:hanging="1134"/>
      </w:pPr>
      <w:rPr>
        <w:rFonts w:hint="eastAsia"/>
      </w:rPr>
    </w:lvl>
    <w:lvl w:ilvl="6" w:tentative="0">
      <w:start w:val="1"/>
      <w:numFmt w:val="decimal"/>
      <w:lvlText w:val="%1.%2.%3.%4.%5.%6.%7."/>
      <w:lvlJc w:val="left"/>
      <w:pPr>
        <w:ind w:left="1275" w:hanging="1275"/>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8" w:hanging="1558"/>
      </w:pPr>
      <w:rPr>
        <w:rFonts w:hint="eastAsia"/>
      </w:rPr>
    </w:lvl>
  </w:abstractNum>
  <w:abstractNum w:abstractNumId="4">
    <w:nsid w:val="4B80CC86"/>
    <w:multiLevelType w:val="singleLevel"/>
    <w:tmpl w:val="4B80CC86"/>
    <w:lvl w:ilvl="0" w:tentative="0">
      <w:start w:val="1"/>
      <w:numFmt w:val="decimal"/>
      <w:pStyle w:val="30"/>
      <w:lvlText w:val="图%1"/>
      <w:lvlJc w:val="left"/>
      <w:pPr>
        <w:tabs>
          <w:tab w:val="left" w:pos="420"/>
        </w:tabs>
        <w:ind w:left="425" w:hanging="425"/>
      </w:pPr>
      <w:rPr>
        <w:rFonts w:hint="default" w:eastAsia="方正仿宋_GBK"/>
        <w:b/>
        <w:sz w:val="32"/>
      </w:rPr>
    </w:lvl>
  </w:abstractNum>
  <w:abstractNum w:abstractNumId="5">
    <w:nsid w:val="7D6F2DE1"/>
    <w:multiLevelType w:val="singleLevel"/>
    <w:tmpl w:val="7D6F2DE1"/>
    <w:lvl w:ilvl="0" w:tentative="0">
      <w:start w:val="1"/>
      <w:numFmt w:val="chineseCounting"/>
      <w:suff w:val="space"/>
      <w:lvlText w:val="第%1章"/>
      <w:lvlJc w:val="left"/>
      <w:rPr>
        <w:rFonts w:hint="eastAsia"/>
      </w:rPr>
    </w:lvl>
  </w:abstractNum>
  <w:num w:numId="1">
    <w:abstractNumId w:val="3"/>
  </w:num>
  <w:num w:numId="2">
    <w:abstractNumId w:val="0"/>
  </w:num>
  <w:num w:numId="3">
    <w:abstractNumId w:val="1"/>
  </w:num>
  <w:num w:numId="4">
    <w:abstractNumId w:val="4"/>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WE1ZGYzMmIxNGVmNzczOTBmN2MyNzk3YmJkM2Q2MDQifQ=="/>
    <w:docVar w:name="KSO_WPS_MARK_KEY" w:val="aa0949e1-eb9c-422b-a7d8-0b4726f394d5"/>
  </w:docVars>
  <w:rsids>
    <w:rsidRoot w:val="7FCF685A"/>
    <w:rsid w:val="00014363"/>
    <w:rsid w:val="00020325"/>
    <w:rsid w:val="000520DF"/>
    <w:rsid w:val="00052E0C"/>
    <w:rsid w:val="00057C14"/>
    <w:rsid w:val="00070608"/>
    <w:rsid w:val="00073902"/>
    <w:rsid w:val="00081D9E"/>
    <w:rsid w:val="000B2629"/>
    <w:rsid w:val="000C3D97"/>
    <w:rsid w:val="000D0257"/>
    <w:rsid w:val="000D1A22"/>
    <w:rsid w:val="000E3923"/>
    <w:rsid w:val="000F134E"/>
    <w:rsid w:val="000F6B05"/>
    <w:rsid w:val="00123970"/>
    <w:rsid w:val="0013043E"/>
    <w:rsid w:val="001468CB"/>
    <w:rsid w:val="001622A6"/>
    <w:rsid w:val="00166DF6"/>
    <w:rsid w:val="001A2271"/>
    <w:rsid w:val="001C522B"/>
    <w:rsid w:val="001C6D92"/>
    <w:rsid w:val="001E4F31"/>
    <w:rsid w:val="00200DC0"/>
    <w:rsid w:val="00202C60"/>
    <w:rsid w:val="002068B3"/>
    <w:rsid w:val="0021438C"/>
    <w:rsid w:val="0022111A"/>
    <w:rsid w:val="00240E3C"/>
    <w:rsid w:val="0024207D"/>
    <w:rsid w:val="0024413A"/>
    <w:rsid w:val="00246364"/>
    <w:rsid w:val="00271654"/>
    <w:rsid w:val="00293557"/>
    <w:rsid w:val="002A4DCE"/>
    <w:rsid w:val="002C132D"/>
    <w:rsid w:val="00334886"/>
    <w:rsid w:val="00340B3E"/>
    <w:rsid w:val="00341C0D"/>
    <w:rsid w:val="00367E94"/>
    <w:rsid w:val="00370FD3"/>
    <w:rsid w:val="003A1513"/>
    <w:rsid w:val="003C6241"/>
    <w:rsid w:val="003F3AFD"/>
    <w:rsid w:val="00400998"/>
    <w:rsid w:val="00411C97"/>
    <w:rsid w:val="004264DF"/>
    <w:rsid w:val="00455D9E"/>
    <w:rsid w:val="00455E35"/>
    <w:rsid w:val="00457557"/>
    <w:rsid w:val="004615D4"/>
    <w:rsid w:val="0046500F"/>
    <w:rsid w:val="00473BDE"/>
    <w:rsid w:val="00486725"/>
    <w:rsid w:val="00497409"/>
    <w:rsid w:val="004B6D3A"/>
    <w:rsid w:val="004C01B6"/>
    <w:rsid w:val="004C7AA5"/>
    <w:rsid w:val="004D281F"/>
    <w:rsid w:val="004D2A36"/>
    <w:rsid w:val="004E7A82"/>
    <w:rsid w:val="004F1177"/>
    <w:rsid w:val="00507330"/>
    <w:rsid w:val="00516B02"/>
    <w:rsid w:val="005277EC"/>
    <w:rsid w:val="005426E1"/>
    <w:rsid w:val="00583211"/>
    <w:rsid w:val="00585727"/>
    <w:rsid w:val="00585EDC"/>
    <w:rsid w:val="0059035A"/>
    <w:rsid w:val="005A0A9B"/>
    <w:rsid w:val="005A681A"/>
    <w:rsid w:val="005B0086"/>
    <w:rsid w:val="005C42F7"/>
    <w:rsid w:val="005E01E5"/>
    <w:rsid w:val="005F15AB"/>
    <w:rsid w:val="005F335A"/>
    <w:rsid w:val="00600001"/>
    <w:rsid w:val="00621637"/>
    <w:rsid w:val="006537BA"/>
    <w:rsid w:val="006615DA"/>
    <w:rsid w:val="00676CD3"/>
    <w:rsid w:val="00684D98"/>
    <w:rsid w:val="006B11AB"/>
    <w:rsid w:val="006D0244"/>
    <w:rsid w:val="006D7662"/>
    <w:rsid w:val="006D7913"/>
    <w:rsid w:val="006F0ABE"/>
    <w:rsid w:val="006F5008"/>
    <w:rsid w:val="006F57FB"/>
    <w:rsid w:val="007131B8"/>
    <w:rsid w:val="007313A1"/>
    <w:rsid w:val="00736FAA"/>
    <w:rsid w:val="007401B3"/>
    <w:rsid w:val="0075157C"/>
    <w:rsid w:val="00751CF6"/>
    <w:rsid w:val="00756FA9"/>
    <w:rsid w:val="007713EB"/>
    <w:rsid w:val="00793A89"/>
    <w:rsid w:val="00794F06"/>
    <w:rsid w:val="00797B5B"/>
    <w:rsid w:val="007B48A2"/>
    <w:rsid w:val="007C6294"/>
    <w:rsid w:val="007C6A35"/>
    <w:rsid w:val="007F27F3"/>
    <w:rsid w:val="00800176"/>
    <w:rsid w:val="00831021"/>
    <w:rsid w:val="00834F2E"/>
    <w:rsid w:val="008478E1"/>
    <w:rsid w:val="008B4141"/>
    <w:rsid w:val="008B4618"/>
    <w:rsid w:val="008B6C01"/>
    <w:rsid w:val="008C5373"/>
    <w:rsid w:val="008D03D4"/>
    <w:rsid w:val="008D5BF2"/>
    <w:rsid w:val="008F5FFF"/>
    <w:rsid w:val="009024B4"/>
    <w:rsid w:val="00912518"/>
    <w:rsid w:val="0094076A"/>
    <w:rsid w:val="00942FC7"/>
    <w:rsid w:val="009451A5"/>
    <w:rsid w:val="0094568B"/>
    <w:rsid w:val="00967D75"/>
    <w:rsid w:val="00976E9A"/>
    <w:rsid w:val="00997D96"/>
    <w:rsid w:val="009A324A"/>
    <w:rsid w:val="009C3ABA"/>
    <w:rsid w:val="009D7E45"/>
    <w:rsid w:val="009F35FE"/>
    <w:rsid w:val="009F5837"/>
    <w:rsid w:val="00A00832"/>
    <w:rsid w:val="00A20F87"/>
    <w:rsid w:val="00A27ED7"/>
    <w:rsid w:val="00A32CC3"/>
    <w:rsid w:val="00A34A64"/>
    <w:rsid w:val="00A37E83"/>
    <w:rsid w:val="00A5798A"/>
    <w:rsid w:val="00A7041F"/>
    <w:rsid w:val="00A74873"/>
    <w:rsid w:val="00A81C97"/>
    <w:rsid w:val="00A82964"/>
    <w:rsid w:val="00A903D8"/>
    <w:rsid w:val="00AA1500"/>
    <w:rsid w:val="00AB1837"/>
    <w:rsid w:val="00AB4E98"/>
    <w:rsid w:val="00AB6313"/>
    <w:rsid w:val="00AC0952"/>
    <w:rsid w:val="00AD1A44"/>
    <w:rsid w:val="00AD6100"/>
    <w:rsid w:val="00AD6A54"/>
    <w:rsid w:val="00AE0FF3"/>
    <w:rsid w:val="00AE6025"/>
    <w:rsid w:val="00B04D85"/>
    <w:rsid w:val="00B05D6D"/>
    <w:rsid w:val="00B0750E"/>
    <w:rsid w:val="00B1359E"/>
    <w:rsid w:val="00B15242"/>
    <w:rsid w:val="00B16CB6"/>
    <w:rsid w:val="00B21001"/>
    <w:rsid w:val="00B33A2D"/>
    <w:rsid w:val="00B51ACA"/>
    <w:rsid w:val="00B53A2B"/>
    <w:rsid w:val="00B55F79"/>
    <w:rsid w:val="00B6745E"/>
    <w:rsid w:val="00B76A2C"/>
    <w:rsid w:val="00B94588"/>
    <w:rsid w:val="00B95A48"/>
    <w:rsid w:val="00BB4F42"/>
    <w:rsid w:val="00BB4F91"/>
    <w:rsid w:val="00BE6A88"/>
    <w:rsid w:val="00BE7F89"/>
    <w:rsid w:val="00BF4683"/>
    <w:rsid w:val="00BF6C63"/>
    <w:rsid w:val="00C24239"/>
    <w:rsid w:val="00C42361"/>
    <w:rsid w:val="00C4439D"/>
    <w:rsid w:val="00C45753"/>
    <w:rsid w:val="00C56157"/>
    <w:rsid w:val="00C718F4"/>
    <w:rsid w:val="00C7246E"/>
    <w:rsid w:val="00C760D9"/>
    <w:rsid w:val="00C842B3"/>
    <w:rsid w:val="00C95FD0"/>
    <w:rsid w:val="00CA4C7F"/>
    <w:rsid w:val="00CB4F00"/>
    <w:rsid w:val="00CD2488"/>
    <w:rsid w:val="00CD4922"/>
    <w:rsid w:val="00CE657F"/>
    <w:rsid w:val="00D02E08"/>
    <w:rsid w:val="00D13418"/>
    <w:rsid w:val="00D153B2"/>
    <w:rsid w:val="00D33FAB"/>
    <w:rsid w:val="00D35BA3"/>
    <w:rsid w:val="00D44F8D"/>
    <w:rsid w:val="00D45C68"/>
    <w:rsid w:val="00D47C96"/>
    <w:rsid w:val="00D53897"/>
    <w:rsid w:val="00D74C65"/>
    <w:rsid w:val="00D752D8"/>
    <w:rsid w:val="00DB67EF"/>
    <w:rsid w:val="00DB6883"/>
    <w:rsid w:val="00DD0E44"/>
    <w:rsid w:val="00DD6D35"/>
    <w:rsid w:val="00DE2681"/>
    <w:rsid w:val="00E0284D"/>
    <w:rsid w:val="00E02BFB"/>
    <w:rsid w:val="00E17185"/>
    <w:rsid w:val="00E22DD6"/>
    <w:rsid w:val="00E31A27"/>
    <w:rsid w:val="00E356B8"/>
    <w:rsid w:val="00E446D2"/>
    <w:rsid w:val="00E6729F"/>
    <w:rsid w:val="00E70DFC"/>
    <w:rsid w:val="00E72DD4"/>
    <w:rsid w:val="00E8290D"/>
    <w:rsid w:val="00E86D6D"/>
    <w:rsid w:val="00EA0A43"/>
    <w:rsid w:val="00EC600A"/>
    <w:rsid w:val="00F026BE"/>
    <w:rsid w:val="00F05DBB"/>
    <w:rsid w:val="00F165C2"/>
    <w:rsid w:val="00F21122"/>
    <w:rsid w:val="00F43DFA"/>
    <w:rsid w:val="00F6409A"/>
    <w:rsid w:val="00F66B7B"/>
    <w:rsid w:val="00F70E03"/>
    <w:rsid w:val="00F85C87"/>
    <w:rsid w:val="00F868FC"/>
    <w:rsid w:val="00F93543"/>
    <w:rsid w:val="00F95ADF"/>
    <w:rsid w:val="00FA76D1"/>
    <w:rsid w:val="00FC1D13"/>
    <w:rsid w:val="01230090"/>
    <w:rsid w:val="01861A0D"/>
    <w:rsid w:val="01B12E58"/>
    <w:rsid w:val="01FE16D0"/>
    <w:rsid w:val="027F310A"/>
    <w:rsid w:val="02A22EF9"/>
    <w:rsid w:val="02B04450"/>
    <w:rsid w:val="032A322C"/>
    <w:rsid w:val="035166A0"/>
    <w:rsid w:val="03E12E2F"/>
    <w:rsid w:val="03F1578E"/>
    <w:rsid w:val="03F6799F"/>
    <w:rsid w:val="041D1579"/>
    <w:rsid w:val="041D2F46"/>
    <w:rsid w:val="043B60F4"/>
    <w:rsid w:val="04816C5A"/>
    <w:rsid w:val="049A5E25"/>
    <w:rsid w:val="04AF5E62"/>
    <w:rsid w:val="05DB66F5"/>
    <w:rsid w:val="06081299"/>
    <w:rsid w:val="061F13E3"/>
    <w:rsid w:val="062D1BDF"/>
    <w:rsid w:val="06852AD4"/>
    <w:rsid w:val="06D728BF"/>
    <w:rsid w:val="06E778CF"/>
    <w:rsid w:val="073E6F3C"/>
    <w:rsid w:val="07746E01"/>
    <w:rsid w:val="07EF5E45"/>
    <w:rsid w:val="08202AE5"/>
    <w:rsid w:val="082037B4"/>
    <w:rsid w:val="08321497"/>
    <w:rsid w:val="08640064"/>
    <w:rsid w:val="08976298"/>
    <w:rsid w:val="08F655F4"/>
    <w:rsid w:val="090A7A4E"/>
    <w:rsid w:val="091B60CD"/>
    <w:rsid w:val="091DBA1E"/>
    <w:rsid w:val="09640BC0"/>
    <w:rsid w:val="09736C45"/>
    <w:rsid w:val="09B604F6"/>
    <w:rsid w:val="09B74D83"/>
    <w:rsid w:val="09D0461C"/>
    <w:rsid w:val="09DA03E0"/>
    <w:rsid w:val="09EEBAB2"/>
    <w:rsid w:val="0A6B4BC8"/>
    <w:rsid w:val="0AE964E3"/>
    <w:rsid w:val="0AFB1C14"/>
    <w:rsid w:val="0B120E3A"/>
    <w:rsid w:val="0B787759"/>
    <w:rsid w:val="0B892662"/>
    <w:rsid w:val="0BA74698"/>
    <w:rsid w:val="0C545C62"/>
    <w:rsid w:val="0C7C14B9"/>
    <w:rsid w:val="0CD81ABC"/>
    <w:rsid w:val="0CF96B0D"/>
    <w:rsid w:val="0D0C7DC3"/>
    <w:rsid w:val="0D38542E"/>
    <w:rsid w:val="0D4B0944"/>
    <w:rsid w:val="0D662D48"/>
    <w:rsid w:val="0DEA386F"/>
    <w:rsid w:val="0E010461"/>
    <w:rsid w:val="0E034A3B"/>
    <w:rsid w:val="0E4312DC"/>
    <w:rsid w:val="0E647EF4"/>
    <w:rsid w:val="0EBB2D5A"/>
    <w:rsid w:val="0ECD6DF7"/>
    <w:rsid w:val="0EDB4162"/>
    <w:rsid w:val="0EE7610B"/>
    <w:rsid w:val="0F3D5D2B"/>
    <w:rsid w:val="0F8FE51A"/>
    <w:rsid w:val="0FD88006"/>
    <w:rsid w:val="106C36E1"/>
    <w:rsid w:val="111A54E7"/>
    <w:rsid w:val="11555B41"/>
    <w:rsid w:val="115B06EA"/>
    <w:rsid w:val="12097AB0"/>
    <w:rsid w:val="12702E82"/>
    <w:rsid w:val="12863E8D"/>
    <w:rsid w:val="12B46304"/>
    <w:rsid w:val="12D07A3D"/>
    <w:rsid w:val="130361C9"/>
    <w:rsid w:val="133F4387"/>
    <w:rsid w:val="137BC521"/>
    <w:rsid w:val="1395218D"/>
    <w:rsid w:val="13C0345D"/>
    <w:rsid w:val="14337424"/>
    <w:rsid w:val="14376075"/>
    <w:rsid w:val="14AA0EF6"/>
    <w:rsid w:val="14CD5C8D"/>
    <w:rsid w:val="15271294"/>
    <w:rsid w:val="156264EB"/>
    <w:rsid w:val="15EB4072"/>
    <w:rsid w:val="160E0219"/>
    <w:rsid w:val="16B00F56"/>
    <w:rsid w:val="16C15493"/>
    <w:rsid w:val="16DB422A"/>
    <w:rsid w:val="17101F95"/>
    <w:rsid w:val="175E421D"/>
    <w:rsid w:val="17B2595E"/>
    <w:rsid w:val="17E13B1B"/>
    <w:rsid w:val="18105FC4"/>
    <w:rsid w:val="18534811"/>
    <w:rsid w:val="185445FF"/>
    <w:rsid w:val="18D36CD5"/>
    <w:rsid w:val="18F51BCB"/>
    <w:rsid w:val="19DF7C85"/>
    <w:rsid w:val="1A076A68"/>
    <w:rsid w:val="1A2867E8"/>
    <w:rsid w:val="1A3327B7"/>
    <w:rsid w:val="1A4274B5"/>
    <w:rsid w:val="1AAB45F3"/>
    <w:rsid w:val="1ACC36EC"/>
    <w:rsid w:val="1ADEA3B6"/>
    <w:rsid w:val="1AE793CB"/>
    <w:rsid w:val="1B0A7AE9"/>
    <w:rsid w:val="1B102545"/>
    <w:rsid w:val="1B7857D7"/>
    <w:rsid w:val="1B994300"/>
    <w:rsid w:val="1BCF3246"/>
    <w:rsid w:val="1BD51578"/>
    <w:rsid w:val="1D21739E"/>
    <w:rsid w:val="1D34441D"/>
    <w:rsid w:val="1D7FB6F7"/>
    <w:rsid w:val="1DA32633"/>
    <w:rsid w:val="1DE309B9"/>
    <w:rsid w:val="1DF262ED"/>
    <w:rsid w:val="1DFF1781"/>
    <w:rsid w:val="1E1D372A"/>
    <w:rsid w:val="1E6D346B"/>
    <w:rsid w:val="1E872543"/>
    <w:rsid w:val="1E9A140E"/>
    <w:rsid w:val="1EB11EB1"/>
    <w:rsid w:val="1EF77549"/>
    <w:rsid w:val="1EF7E8FC"/>
    <w:rsid w:val="1EFE8ED4"/>
    <w:rsid w:val="1FA47017"/>
    <w:rsid w:val="1FAE4B27"/>
    <w:rsid w:val="1FB301D4"/>
    <w:rsid w:val="1FB40547"/>
    <w:rsid w:val="20120A10"/>
    <w:rsid w:val="201D27FE"/>
    <w:rsid w:val="203D4B01"/>
    <w:rsid w:val="209603B8"/>
    <w:rsid w:val="2097752B"/>
    <w:rsid w:val="20C61124"/>
    <w:rsid w:val="20E23691"/>
    <w:rsid w:val="20ED2D01"/>
    <w:rsid w:val="21311468"/>
    <w:rsid w:val="21514168"/>
    <w:rsid w:val="2154183B"/>
    <w:rsid w:val="21BC64E3"/>
    <w:rsid w:val="21DA3D7E"/>
    <w:rsid w:val="223B1FC2"/>
    <w:rsid w:val="2263124D"/>
    <w:rsid w:val="229E4EDA"/>
    <w:rsid w:val="22A218B8"/>
    <w:rsid w:val="23151C33"/>
    <w:rsid w:val="232F15F4"/>
    <w:rsid w:val="236F5709"/>
    <w:rsid w:val="238F2B90"/>
    <w:rsid w:val="239C4B65"/>
    <w:rsid w:val="241D458E"/>
    <w:rsid w:val="246E45E2"/>
    <w:rsid w:val="248722F1"/>
    <w:rsid w:val="24B41EC8"/>
    <w:rsid w:val="24C41FAF"/>
    <w:rsid w:val="24D4642C"/>
    <w:rsid w:val="24D5741B"/>
    <w:rsid w:val="25225CED"/>
    <w:rsid w:val="25583E1A"/>
    <w:rsid w:val="25F0369F"/>
    <w:rsid w:val="25F425B4"/>
    <w:rsid w:val="26192BF6"/>
    <w:rsid w:val="262E14F5"/>
    <w:rsid w:val="26A526DC"/>
    <w:rsid w:val="273D2FA1"/>
    <w:rsid w:val="27653501"/>
    <w:rsid w:val="278F2D7E"/>
    <w:rsid w:val="27B4489C"/>
    <w:rsid w:val="27FBD063"/>
    <w:rsid w:val="27FDCAAD"/>
    <w:rsid w:val="284E60D2"/>
    <w:rsid w:val="286F165D"/>
    <w:rsid w:val="28836A4D"/>
    <w:rsid w:val="288650C7"/>
    <w:rsid w:val="28C45A67"/>
    <w:rsid w:val="28C8445F"/>
    <w:rsid w:val="28CD5F1A"/>
    <w:rsid w:val="291300A1"/>
    <w:rsid w:val="29246273"/>
    <w:rsid w:val="29344898"/>
    <w:rsid w:val="29575C73"/>
    <w:rsid w:val="29C44A84"/>
    <w:rsid w:val="2A2C43DF"/>
    <w:rsid w:val="2A33793C"/>
    <w:rsid w:val="2AA80C97"/>
    <w:rsid w:val="2B1020EE"/>
    <w:rsid w:val="2B2A1157"/>
    <w:rsid w:val="2B5B6A8B"/>
    <w:rsid w:val="2BBF65DB"/>
    <w:rsid w:val="2BC12CFA"/>
    <w:rsid w:val="2BE62485"/>
    <w:rsid w:val="2C2F2A9F"/>
    <w:rsid w:val="2C5B6E8F"/>
    <w:rsid w:val="2C5F0F16"/>
    <w:rsid w:val="2CC76D42"/>
    <w:rsid w:val="2CC873BC"/>
    <w:rsid w:val="2D320A41"/>
    <w:rsid w:val="2D3E2F42"/>
    <w:rsid w:val="2D486A1B"/>
    <w:rsid w:val="2D564730"/>
    <w:rsid w:val="2DA43E75"/>
    <w:rsid w:val="2DBE4083"/>
    <w:rsid w:val="2DE3765F"/>
    <w:rsid w:val="2DFFD021"/>
    <w:rsid w:val="2E4E3659"/>
    <w:rsid w:val="2E78069B"/>
    <w:rsid w:val="2E7D7A9A"/>
    <w:rsid w:val="2EFE6A29"/>
    <w:rsid w:val="2F5103ED"/>
    <w:rsid w:val="2F6E2CAA"/>
    <w:rsid w:val="2F6FCB1E"/>
    <w:rsid w:val="2F7013AD"/>
    <w:rsid w:val="2F7167D4"/>
    <w:rsid w:val="2FAF748A"/>
    <w:rsid w:val="301779E0"/>
    <w:rsid w:val="302F2BBF"/>
    <w:rsid w:val="307979DE"/>
    <w:rsid w:val="30AA7733"/>
    <w:rsid w:val="30D32B36"/>
    <w:rsid w:val="31442AF1"/>
    <w:rsid w:val="3170691C"/>
    <w:rsid w:val="318F0947"/>
    <w:rsid w:val="31DC5391"/>
    <w:rsid w:val="31E0115F"/>
    <w:rsid w:val="321C3628"/>
    <w:rsid w:val="321C3807"/>
    <w:rsid w:val="32211871"/>
    <w:rsid w:val="329B6189"/>
    <w:rsid w:val="32FF13C6"/>
    <w:rsid w:val="33030ED0"/>
    <w:rsid w:val="330C4CCD"/>
    <w:rsid w:val="33705ACB"/>
    <w:rsid w:val="339FB638"/>
    <w:rsid w:val="33CB3124"/>
    <w:rsid w:val="33D66CC0"/>
    <w:rsid w:val="33F1163C"/>
    <w:rsid w:val="34753FB0"/>
    <w:rsid w:val="347E631A"/>
    <w:rsid w:val="34A73AC3"/>
    <w:rsid w:val="34AA5967"/>
    <w:rsid w:val="34D31456"/>
    <w:rsid w:val="34FB0067"/>
    <w:rsid w:val="350A76A8"/>
    <w:rsid w:val="3518484F"/>
    <w:rsid w:val="35603402"/>
    <w:rsid w:val="35A95915"/>
    <w:rsid w:val="35B00755"/>
    <w:rsid w:val="35B244CD"/>
    <w:rsid w:val="35E210D6"/>
    <w:rsid w:val="36591061"/>
    <w:rsid w:val="365A23CF"/>
    <w:rsid w:val="36BDD7AF"/>
    <w:rsid w:val="36F9AB87"/>
    <w:rsid w:val="36FEB4B6"/>
    <w:rsid w:val="37353D38"/>
    <w:rsid w:val="3756532C"/>
    <w:rsid w:val="375FD938"/>
    <w:rsid w:val="3773505B"/>
    <w:rsid w:val="37BB607F"/>
    <w:rsid w:val="380642D6"/>
    <w:rsid w:val="388F0AF6"/>
    <w:rsid w:val="38AC56D6"/>
    <w:rsid w:val="38AE5971"/>
    <w:rsid w:val="38DF1DD3"/>
    <w:rsid w:val="38E726E0"/>
    <w:rsid w:val="38F78AB4"/>
    <w:rsid w:val="39201A7E"/>
    <w:rsid w:val="39257682"/>
    <w:rsid w:val="39334707"/>
    <w:rsid w:val="395E2D66"/>
    <w:rsid w:val="39817AEE"/>
    <w:rsid w:val="398D78AA"/>
    <w:rsid w:val="3A134BD8"/>
    <w:rsid w:val="3A5B5A48"/>
    <w:rsid w:val="3A5D5E6B"/>
    <w:rsid w:val="3A6D53BD"/>
    <w:rsid w:val="3A7EA840"/>
    <w:rsid w:val="3A8B6B0A"/>
    <w:rsid w:val="3AA102FC"/>
    <w:rsid w:val="3AA80723"/>
    <w:rsid w:val="3AA857F1"/>
    <w:rsid w:val="3ADB16A0"/>
    <w:rsid w:val="3AE0314C"/>
    <w:rsid w:val="3AEFDCC1"/>
    <w:rsid w:val="3AFB6916"/>
    <w:rsid w:val="3B227097"/>
    <w:rsid w:val="3B3C4BDF"/>
    <w:rsid w:val="3B6608BD"/>
    <w:rsid w:val="3B6D3521"/>
    <w:rsid w:val="3B713357"/>
    <w:rsid w:val="3B9F4692"/>
    <w:rsid w:val="3BE03A79"/>
    <w:rsid w:val="3CAB677A"/>
    <w:rsid w:val="3D5C4E49"/>
    <w:rsid w:val="3D6E33D0"/>
    <w:rsid w:val="3D7D29B8"/>
    <w:rsid w:val="3D861C0E"/>
    <w:rsid w:val="3D906A5F"/>
    <w:rsid w:val="3D9B6799"/>
    <w:rsid w:val="3DFD2924"/>
    <w:rsid w:val="3DFD6502"/>
    <w:rsid w:val="3DFD93EA"/>
    <w:rsid w:val="3E5D51F2"/>
    <w:rsid w:val="3E7BD12A"/>
    <w:rsid w:val="3EAF238B"/>
    <w:rsid w:val="3ED39FB5"/>
    <w:rsid w:val="3EDF2028"/>
    <w:rsid w:val="3F5743B4"/>
    <w:rsid w:val="3F7559DB"/>
    <w:rsid w:val="3FBA46FB"/>
    <w:rsid w:val="3FC21FAC"/>
    <w:rsid w:val="3FCE4A35"/>
    <w:rsid w:val="3FDED7ED"/>
    <w:rsid w:val="3FE231CE"/>
    <w:rsid w:val="3FEC2CD2"/>
    <w:rsid w:val="3FEEB3EF"/>
    <w:rsid w:val="3FEEE229"/>
    <w:rsid w:val="3FEF3EC6"/>
    <w:rsid w:val="3FF76599"/>
    <w:rsid w:val="3FFD423B"/>
    <w:rsid w:val="3FFE0AA2"/>
    <w:rsid w:val="3FFE7E71"/>
    <w:rsid w:val="3FFF220B"/>
    <w:rsid w:val="3FFF7AE0"/>
    <w:rsid w:val="3FFF98AB"/>
    <w:rsid w:val="3FFFF843"/>
    <w:rsid w:val="40184CA9"/>
    <w:rsid w:val="404B17A6"/>
    <w:rsid w:val="41002899"/>
    <w:rsid w:val="41260C2A"/>
    <w:rsid w:val="419D4950"/>
    <w:rsid w:val="41BF0DD8"/>
    <w:rsid w:val="41EB006C"/>
    <w:rsid w:val="41F32CC0"/>
    <w:rsid w:val="42905431"/>
    <w:rsid w:val="42907C66"/>
    <w:rsid w:val="43427D9B"/>
    <w:rsid w:val="43792A18"/>
    <w:rsid w:val="43DB1093"/>
    <w:rsid w:val="43E5746C"/>
    <w:rsid w:val="440B7145"/>
    <w:rsid w:val="4423341C"/>
    <w:rsid w:val="443C57CF"/>
    <w:rsid w:val="44FC35D2"/>
    <w:rsid w:val="451005F7"/>
    <w:rsid w:val="4521640F"/>
    <w:rsid w:val="453A4479"/>
    <w:rsid w:val="455410FD"/>
    <w:rsid w:val="45AF6107"/>
    <w:rsid w:val="45CE5ED6"/>
    <w:rsid w:val="45FF375F"/>
    <w:rsid w:val="46054AED"/>
    <w:rsid w:val="46164604"/>
    <w:rsid w:val="462E4E00"/>
    <w:rsid w:val="467852BF"/>
    <w:rsid w:val="46C40588"/>
    <w:rsid w:val="46CD42D1"/>
    <w:rsid w:val="46E04B14"/>
    <w:rsid w:val="46E3425A"/>
    <w:rsid w:val="46E72E33"/>
    <w:rsid w:val="46FC37FA"/>
    <w:rsid w:val="471D32B9"/>
    <w:rsid w:val="47507FEA"/>
    <w:rsid w:val="476B419D"/>
    <w:rsid w:val="477501F0"/>
    <w:rsid w:val="47AFD6DD"/>
    <w:rsid w:val="47D06A35"/>
    <w:rsid w:val="482D3E9A"/>
    <w:rsid w:val="49284D7B"/>
    <w:rsid w:val="497713E7"/>
    <w:rsid w:val="49A55352"/>
    <w:rsid w:val="49D115D4"/>
    <w:rsid w:val="49D55BA7"/>
    <w:rsid w:val="49FF4FE0"/>
    <w:rsid w:val="4A1B668D"/>
    <w:rsid w:val="4A630034"/>
    <w:rsid w:val="4ABF4E4F"/>
    <w:rsid w:val="4ACF1226"/>
    <w:rsid w:val="4AD72D09"/>
    <w:rsid w:val="4ADFB615"/>
    <w:rsid w:val="4AEE6B93"/>
    <w:rsid w:val="4B070602"/>
    <w:rsid w:val="4B4E65EF"/>
    <w:rsid w:val="4B6422B6"/>
    <w:rsid w:val="4B7C6040"/>
    <w:rsid w:val="4B8563B3"/>
    <w:rsid w:val="4BA12BC2"/>
    <w:rsid w:val="4BB05054"/>
    <w:rsid w:val="4BBFA2D1"/>
    <w:rsid w:val="4BDD16B2"/>
    <w:rsid w:val="4C6876EA"/>
    <w:rsid w:val="4CAA5C5A"/>
    <w:rsid w:val="4CD70C2D"/>
    <w:rsid w:val="4CEA1CF0"/>
    <w:rsid w:val="4CF74174"/>
    <w:rsid w:val="4D2372B1"/>
    <w:rsid w:val="4D461C73"/>
    <w:rsid w:val="4D6245D3"/>
    <w:rsid w:val="4D624D84"/>
    <w:rsid w:val="4D9135BC"/>
    <w:rsid w:val="4DAA5758"/>
    <w:rsid w:val="4DBD2E37"/>
    <w:rsid w:val="4E24470E"/>
    <w:rsid w:val="4E2E44B5"/>
    <w:rsid w:val="4E3F5370"/>
    <w:rsid w:val="4E611D50"/>
    <w:rsid w:val="4E826BDB"/>
    <w:rsid w:val="4EB54DB7"/>
    <w:rsid w:val="4EB838C5"/>
    <w:rsid w:val="4EBF0FC7"/>
    <w:rsid w:val="4EC5772C"/>
    <w:rsid w:val="4ECF50CE"/>
    <w:rsid w:val="4EDF237F"/>
    <w:rsid w:val="4EF9B72E"/>
    <w:rsid w:val="4F2D1CC9"/>
    <w:rsid w:val="4F3501F1"/>
    <w:rsid w:val="4F6A473E"/>
    <w:rsid w:val="4F7D0063"/>
    <w:rsid w:val="4F89768C"/>
    <w:rsid w:val="4FBF118D"/>
    <w:rsid w:val="4FD88498"/>
    <w:rsid w:val="4FF891EB"/>
    <w:rsid w:val="4FFB54DE"/>
    <w:rsid w:val="50213607"/>
    <w:rsid w:val="502618E8"/>
    <w:rsid w:val="50C51101"/>
    <w:rsid w:val="50FD3962"/>
    <w:rsid w:val="510559A1"/>
    <w:rsid w:val="513430B0"/>
    <w:rsid w:val="51694182"/>
    <w:rsid w:val="51C40829"/>
    <w:rsid w:val="520A3291"/>
    <w:rsid w:val="52140ECD"/>
    <w:rsid w:val="521446DF"/>
    <w:rsid w:val="52501F35"/>
    <w:rsid w:val="52527687"/>
    <w:rsid w:val="52A42F98"/>
    <w:rsid w:val="52E65410"/>
    <w:rsid w:val="53285977"/>
    <w:rsid w:val="53682217"/>
    <w:rsid w:val="537F71C8"/>
    <w:rsid w:val="53AC47FA"/>
    <w:rsid w:val="53CB1B90"/>
    <w:rsid w:val="53DF5C01"/>
    <w:rsid w:val="53ED993B"/>
    <w:rsid w:val="53EE4C8B"/>
    <w:rsid w:val="53FFE874"/>
    <w:rsid w:val="542805B9"/>
    <w:rsid w:val="550E52A5"/>
    <w:rsid w:val="551E1989"/>
    <w:rsid w:val="551F6043"/>
    <w:rsid w:val="555344AC"/>
    <w:rsid w:val="55A75279"/>
    <w:rsid w:val="55D83902"/>
    <w:rsid w:val="55FEC430"/>
    <w:rsid w:val="56000E0D"/>
    <w:rsid w:val="561A1EEF"/>
    <w:rsid w:val="56273AE3"/>
    <w:rsid w:val="565106E9"/>
    <w:rsid w:val="56567D0E"/>
    <w:rsid w:val="565A22EB"/>
    <w:rsid w:val="565B7EBC"/>
    <w:rsid w:val="569F0800"/>
    <w:rsid w:val="56BE6D1E"/>
    <w:rsid w:val="56E5ED68"/>
    <w:rsid w:val="56FB3ACE"/>
    <w:rsid w:val="572420A0"/>
    <w:rsid w:val="573C78EE"/>
    <w:rsid w:val="5759588B"/>
    <w:rsid w:val="57AC50F0"/>
    <w:rsid w:val="57F70888"/>
    <w:rsid w:val="57FA3D86"/>
    <w:rsid w:val="57FB00DE"/>
    <w:rsid w:val="5801522C"/>
    <w:rsid w:val="580A585A"/>
    <w:rsid w:val="581B27C1"/>
    <w:rsid w:val="583A1DF4"/>
    <w:rsid w:val="588F58DF"/>
    <w:rsid w:val="59143549"/>
    <w:rsid w:val="593613EB"/>
    <w:rsid w:val="59411981"/>
    <w:rsid w:val="59421300"/>
    <w:rsid w:val="598E3CFA"/>
    <w:rsid w:val="598E5016"/>
    <w:rsid w:val="5994CB73"/>
    <w:rsid w:val="59A807FF"/>
    <w:rsid w:val="59B51007"/>
    <w:rsid w:val="59E36A9C"/>
    <w:rsid w:val="59E6048B"/>
    <w:rsid w:val="5A01701A"/>
    <w:rsid w:val="5A0C1B4F"/>
    <w:rsid w:val="5A17DB76"/>
    <w:rsid w:val="5A3612C1"/>
    <w:rsid w:val="5A3E01D0"/>
    <w:rsid w:val="5A7C0A03"/>
    <w:rsid w:val="5A9559D9"/>
    <w:rsid w:val="5ADA39FB"/>
    <w:rsid w:val="5B1FE720"/>
    <w:rsid w:val="5B4B3B2E"/>
    <w:rsid w:val="5B5F43F0"/>
    <w:rsid w:val="5BB93F58"/>
    <w:rsid w:val="5BE32D83"/>
    <w:rsid w:val="5BF41A1C"/>
    <w:rsid w:val="5BFBC7C5"/>
    <w:rsid w:val="5BFD65C7"/>
    <w:rsid w:val="5BFF4203"/>
    <w:rsid w:val="5C132992"/>
    <w:rsid w:val="5C33763B"/>
    <w:rsid w:val="5C3E0E1F"/>
    <w:rsid w:val="5C62639E"/>
    <w:rsid w:val="5CB525A2"/>
    <w:rsid w:val="5CE21551"/>
    <w:rsid w:val="5D1671A2"/>
    <w:rsid w:val="5D1758D9"/>
    <w:rsid w:val="5D411CBC"/>
    <w:rsid w:val="5D607E1D"/>
    <w:rsid w:val="5D6E0096"/>
    <w:rsid w:val="5D700646"/>
    <w:rsid w:val="5D7E7156"/>
    <w:rsid w:val="5D951CD0"/>
    <w:rsid w:val="5DA63210"/>
    <w:rsid w:val="5DBE6644"/>
    <w:rsid w:val="5DC57C5C"/>
    <w:rsid w:val="5DE2E0F2"/>
    <w:rsid w:val="5DEC1791"/>
    <w:rsid w:val="5DF3316A"/>
    <w:rsid w:val="5DFF75D2"/>
    <w:rsid w:val="5E7A759B"/>
    <w:rsid w:val="5E9D1AA7"/>
    <w:rsid w:val="5EADD3B9"/>
    <w:rsid w:val="5EEF5181"/>
    <w:rsid w:val="5EF42625"/>
    <w:rsid w:val="5F003644"/>
    <w:rsid w:val="5F4678B1"/>
    <w:rsid w:val="5F53BBFE"/>
    <w:rsid w:val="5F5F19D5"/>
    <w:rsid w:val="5F763BE0"/>
    <w:rsid w:val="5F777986"/>
    <w:rsid w:val="5F7F598D"/>
    <w:rsid w:val="5FA93400"/>
    <w:rsid w:val="5FB31E1E"/>
    <w:rsid w:val="5FB9594F"/>
    <w:rsid w:val="5FBF3AD4"/>
    <w:rsid w:val="5FCF30DD"/>
    <w:rsid w:val="5FF13292"/>
    <w:rsid w:val="5FFF0C30"/>
    <w:rsid w:val="5FFF69FB"/>
    <w:rsid w:val="5FFF8FFD"/>
    <w:rsid w:val="5FFFC453"/>
    <w:rsid w:val="6011228B"/>
    <w:rsid w:val="605374E6"/>
    <w:rsid w:val="60D8036A"/>
    <w:rsid w:val="613C7BA6"/>
    <w:rsid w:val="618171E0"/>
    <w:rsid w:val="618A4A0C"/>
    <w:rsid w:val="61B75E7F"/>
    <w:rsid w:val="61BC4533"/>
    <w:rsid w:val="61D37E02"/>
    <w:rsid w:val="621734F0"/>
    <w:rsid w:val="621C3374"/>
    <w:rsid w:val="62337403"/>
    <w:rsid w:val="62365324"/>
    <w:rsid w:val="62584EE9"/>
    <w:rsid w:val="62850DEE"/>
    <w:rsid w:val="62FB7EEB"/>
    <w:rsid w:val="63180986"/>
    <w:rsid w:val="63232C8D"/>
    <w:rsid w:val="63303B9B"/>
    <w:rsid w:val="634632A4"/>
    <w:rsid w:val="63626C83"/>
    <w:rsid w:val="6379572F"/>
    <w:rsid w:val="639A7C59"/>
    <w:rsid w:val="639F2463"/>
    <w:rsid w:val="63B14C20"/>
    <w:rsid w:val="63BB74C5"/>
    <w:rsid w:val="63C21C66"/>
    <w:rsid w:val="6407266E"/>
    <w:rsid w:val="641B498A"/>
    <w:rsid w:val="64437A13"/>
    <w:rsid w:val="644B7D92"/>
    <w:rsid w:val="647BF184"/>
    <w:rsid w:val="64D7FDDA"/>
    <w:rsid w:val="64E479CD"/>
    <w:rsid w:val="65294841"/>
    <w:rsid w:val="65CA15FC"/>
    <w:rsid w:val="663E78FE"/>
    <w:rsid w:val="6683081A"/>
    <w:rsid w:val="66AB26EF"/>
    <w:rsid w:val="66DB45E6"/>
    <w:rsid w:val="674C6444"/>
    <w:rsid w:val="67890C82"/>
    <w:rsid w:val="67957627"/>
    <w:rsid w:val="67A044CF"/>
    <w:rsid w:val="67DCF2E2"/>
    <w:rsid w:val="67E61877"/>
    <w:rsid w:val="67F27656"/>
    <w:rsid w:val="68BC6214"/>
    <w:rsid w:val="68D221B5"/>
    <w:rsid w:val="690D7691"/>
    <w:rsid w:val="6910451E"/>
    <w:rsid w:val="695A0B28"/>
    <w:rsid w:val="69864485"/>
    <w:rsid w:val="698C025D"/>
    <w:rsid w:val="69B50C03"/>
    <w:rsid w:val="69B55065"/>
    <w:rsid w:val="69C7F907"/>
    <w:rsid w:val="6A002D52"/>
    <w:rsid w:val="6A772416"/>
    <w:rsid w:val="6A9C6F1F"/>
    <w:rsid w:val="6AD11580"/>
    <w:rsid w:val="6ADD6382"/>
    <w:rsid w:val="6B3C5386"/>
    <w:rsid w:val="6B446834"/>
    <w:rsid w:val="6B4E7556"/>
    <w:rsid w:val="6B522AD4"/>
    <w:rsid w:val="6B5312C3"/>
    <w:rsid w:val="6B6B003F"/>
    <w:rsid w:val="6B7CD4E6"/>
    <w:rsid w:val="6B9121C1"/>
    <w:rsid w:val="6BA13B3D"/>
    <w:rsid w:val="6BA437E1"/>
    <w:rsid w:val="6BEC6B68"/>
    <w:rsid w:val="6C105B45"/>
    <w:rsid w:val="6C2E0DAD"/>
    <w:rsid w:val="6C3210B3"/>
    <w:rsid w:val="6C472EBA"/>
    <w:rsid w:val="6CDC6D84"/>
    <w:rsid w:val="6CF71884"/>
    <w:rsid w:val="6D326FAF"/>
    <w:rsid w:val="6D3F14EF"/>
    <w:rsid w:val="6D463C88"/>
    <w:rsid w:val="6D506365"/>
    <w:rsid w:val="6D7F11C4"/>
    <w:rsid w:val="6D9143ED"/>
    <w:rsid w:val="6D92042A"/>
    <w:rsid w:val="6D9C5F08"/>
    <w:rsid w:val="6DA64519"/>
    <w:rsid w:val="6DAFEC9C"/>
    <w:rsid w:val="6DEF2AB2"/>
    <w:rsid w:val="6DEFC661"/>
    <w:rsid w:val="6DFB22C7"/>
    <w:rsid w:val="6DFBD1E8"/>
    <w:rsid w:val="6E1C12B7"/>
    <w:rsid w:val="6E453572"/>
    <w:rsid w:val="6E7AADD8"/>
    <w:rsid w:val="6E9C6A04"/>
    <w:rsid w:val="6EAD1B74"/>
    <w:rsid w:val="6ECF311E"/>
    <w:rsid w:val="6EDF4E37"/>
    <w:rsid w:val="6EE423D3"/>
    <w:rsid w:val="6EF3DFBA"/>
    <w:rsid w:val="6EF70BC7"/>
    <w:rsid w:val="6EFEDD72"/>
    <w:rsid w:val="6EFF8B0A"/>
    <w:rsid w:val="6EFFAC2B"/>
    <w:rsid w:val="6F3F4230"/>
    <w:rsid w:val="6F451933"/>
    <w:rsid w:val="6F5033A9"/>
    <w:rsid w:val="6F6AC84D"/>
    <w:rsid w:val="6F775898"/>
    <w:rsid w:val="6F9F1342"/>
    <w:rsid w:val="6FBE721E"/>
    <w:rsid w:val="6FCF406F"/>
    <w:rsid w:val="6FD6F0F1"/>
    <w:rsid w:val="6FDF5E1B"/>
    <w:rsid w:val="6FDFD98F"/>
    <w:rsid w:val="6FE960D1"/>
    <w:rsid w:val="6FEE6190"/>
    <w:rsid w:val="6FF7533A"/>
    <w:rsid w:val="6FFF424B"/>
    <w:rsid w:val="6FFF6AFE"/>
    <w:rsid w:val="7036127C"/>
    <w:rsid w:val="707660EE"/>
    <w:rsid w:val="707F767A"/>
    <w:rsid w:val="70A13532"/>
    <w:rsid w:val="70D87A05"/>
    <w:rsid w:val="71235CA4"/>
    <w:rsid w:val="714F52AF"/>
    <w:rsid w:val="715E3EDB"/>
    <w:rsid w:val="71C8684B"/>
    <w:rsid w:val="71FA52CD"/>
    <w:rsid w:val="72324406"/>
    <w:rsid w:val="726C0397"/>
    <w:rsid w:val="72865AC6"/>
    <w:rsid w:val="728C1627"/>
    <w:rsid w:val="72A53193"/>
    <w:rsid w:val="72BE45D4"/>
    <w:rsid w:val="72BFFFFC"/>
    <w:rsid w:val="72DD1E82"/>
    <w:rsid w:val="72FA3784"/>
    <w:rsid w:val="73383B77"/>
    <w:rsid w:val="735127E9"/>
    <w:rsid w:val="73AF1A71"/>
    <w:rsid w:val="73B255C9"/>
    <w:rsid w:val="73C66DBA"/>
    <w:rsid w:val="73CB43D1"/>
    <w:rsid w:val="73D7297A"/>
    <w:rsid w:val="73F6C5C4"/>
    <w:rsid w:val="73F85B5B"/>
    <w:rsid w:val="74277859"/>
    <w:rsid w:val="748F1CC1"/>
    <w:rsid w:val="74962C31"/>
    <w:rsid w:val="74993B11"/>
    <w:rsid w:val="749B40CF"/>
    <w:rsid w:val="74B03FBE"/>
    <w:rsid w:val="74D90D77"/>
    <w:rsid w:val="750E0E19"/>
    <w:rsid w:val="751F3BAB"/>
    <w:rsid w:val="752C7471"/>
    <w:rsid w:val="752D8916"/>
    <w:rsid w:val="754D4BD8"/>
    <w:rsid w:val="756B6E05"/>
    <w:rsid w:val="756F8D98"/>
    <w:rsid w:val="75BFB0F0"/>
    <w:rsid w:val="75C961F5"/>
    <w:rsid w:val="75CFD4ED"/>
    <w:rsid w:val="75DC28C5"/>
    <w:rsid w:val="761E51CF"/>
    <w:rsid w:val="766E6D7A"/>
    <w:rsid w:val="769C5FF5"/>
    <w:rsid w:val="76AC53D2"/>
    <w:rsid w:val="76D98916"/>
    <w:rsid w:val="76DF3D5E"/>
    <w:rsid w:val="76FD0D45"/>
    <w:rsid w:val="76FD99E3"/>
    <w:rsid w:val="77043C91"/>
    <w:rsid w:val="77382E42"/>
    <w:rsid w:val="774851D1"/>
    <w:rsid w:val="774F7984"/>
    <w:rsid w:val="7756EC95"/>
    <w:rsid w:val="77717A51"/>
    <w:rsid w:val="77797E1C"/>
    <w:rsid w:val="77A97408"/>
    <w:rsid w:val="77BB6C17"/>
    <w:rsid w:val="77D93A15"/>
    <w:rsid w:val="77DE58CE"/>
    <w:rsid w:val="77FFFDAD"/>
    <w:rsid w:val="785C60B0"/>
    <w:rsid w:val="786A41B8"/>
    <w:rsid w:val="787D0E2F"/>
    <w:rsid w:val="788A0401"/>
    <w:rsid w:val="789E3E62"/>
    <w:rsid w:val="79036546"/>
    <w:rsid w:val="796A4AE2"/>
    <w:rsid w:val="797516D6"/>
    <w:rsid w:val="797DF837"/>
    <w:rsid w:val="79BE62CC"/>
    <w:rsid w:val="79DB4F56"/>
    <w:rsid w:val="79DB85EB"/>
    <w:rsid w:val="79EBC91B"/>
    <w:rsid w:val="79FB3155"/>
    <w:rsid w:val="79FF1EB9"/>
    <w:rsid w:val="7A241BF8"/>
    <w:rsid w:val="7A5F3ABC"/>
    <w:rsid w:val="7A8157E9"/>
    <w:rsid w:val="7AA37E55"/>
    <w:rsid w:val="7AE66EDF"/>
    <w:rsid w:val="7AF641B6"/>
    <w:rsid w:val="7B041679"/>
    <w:rsid w:val="7B2A1D75"/>
    <w:rsid w:val="7B2C6FC4"/>
    <w:rsid w:val="7B39BAA0"/>
    <w:rsid w:val="7B511FFA"/>
    <w:rsid w:val="7B566C76"/>
    <w:rsid w:val="7B5D6256"/>
    <w:rsid w:val="7B600145"/>
    <w:rsid w:val="7B7B8BF7"/>
    <w:rsid w:val="7B7DDA78"/>
    <w:rsid w:val="7B8E4641"/>
    <w:rsid w:val="7B9BE7A5"/>
    <w:rsid w:val="7B9F1D09"/>
    <w:rsid w:val="7BAA6307"/>
    <w:rsid w:val="7BC64A8B"/>
    <w:rsid w:val="7BCDC50B"/>
    <w:rsid w:val="7BD76A5E"/>
    <w:rsid w:val="7BE53E26"/>
    <w:rsid w:val="7BE8A956"/>
    <w:rsid w:val="7BEF3A7D"/>
    <w:rsid w:val="7BFC9972"/>
    <w:rsid w:val="7BFE54FA"/>
    <w:rsid w:val="7BFF6353"/>
    <w:rsid w:val="7C420366"/>
    <w:rsid w:val="7C471233"/>
    <w:rsid w:val="7C6221D0"/>
    <w:rsid w:val="7C764B48"/>
    <w:rsid w:val="7C79E352"/>
    <w:rsid w:val="7C8342AD"/>
    <w:rsid w:val="7CEAAE77"/>
    <w:rsid w:val="7CEFE320"/>
    <w:rsid w:val="7CF03176"/>
    <w:rsid w:val="7CF6500F"/>
    <w:rsid w:val="7CF70A26"/>
    <w:rsid w:val="7D3B5CDF"/>
    <w:rsid w:val="7D6E02A7"/>
    <w:rsid w:val="7D7E2E6E"/>
    <w:rsid w:val="7D896879"/>
    <w:rsid w:val="7D95D663"/>
    <w:rsid w:val="7D9D0ACA"/>
    <w:rsid w:val="7DB3B5FE"/>
    <w:rsid w:val="7DB53C69"/>
    <w:rsid w:val="7DB68E1D"/>
    <w:rsid w:val="7DBE25CF"/>
    <w:rsid w:val="7DBEA578"/>
    <w:rsid w:val="7DBF968A"/>
    <w:rsid w:val="7DD345AE"/>
    <w:rsid w:val="7DDBE004"/>
    <w:rsid w:val="7DDD2B5F"/>
    <w:rsid w:val="7DF763D1"/>
    <w:rsid w:val="7DF7F8B8"/>
    <w:rsid w:val="7DFB7182"/>
    <w:rsid w:val="7DFE9011"/>
    <w:rsid w:val="7DFF07FB"/>
    <w:rsid w:val="7DFF1D9E"/>
    <w:rsid w:val="7E2467E5"/>
    <w:rsid w:val="7E2F55BF"/>
    <w:rsid w:val="7E3037AE"/>
    <w:rsid w:val="7E5022F9"/>
    <w:rsid w:val="7E696845"/>
    <w:rsid w:val="7E7DAADF"/>
    <w:rsid w:val="7E7EC9FD"/>
    <w:rsid w:val="7EBF75C7"/>
    <w:rsid w:val="7ED388F3"/>
    <w:rsid w:val="7EDB3F56"/>
    <w:rsid w:val="7EDD7D18"/>
    <w:rsid w:val="7EDF14FA"/>
    <w:rsid w:val="7EDF7320"/>
    <w:rsid w:val="7EEF7FEE"/>
    <w:rsid w:val="7EFFBEFF"/>
    <w:rsid w:val="7EFFE27C"/>
    <w:rsid w:val="7F0F9CF3"/>
    <w:rsid w:val="7F361EA3"/>
    <w:rsid w:val="7F3AAD9A"/>
    <w:rsid w:val="7F3E3525"/>
    <w:rsid w:val="7F3F9653"/>
    <w:rsid w:val="7F4FA9B3"/>
    <w:rsid w:val="7F5D6992"/>
    <w:rsid w:val="7F696607"/>
    <w:rsid w:val="7F6E37A5"/>
    <w:rsid w:val="7F7720B0"/>
    <w:rsid w:val="7F7B452E"/>
    <w:rsid w:val="7F7BF218"/>
    <w:rsid w:val="7F7D2EAD"/>
    <w:rsid w:val="7F7FDD0E"/>
    <w:rsid w:val="7FACF15A"/>
    <w:rsid w:val="7FB36E09"/>
    <w:rsid w:val="7FB46D2A"/>
    <w:rsid w:val="7FB52FF7"/>
    <w:rsid w:val="7FB60D8C"/>
    <w:rsid w:val="7FBC62C3"/>
    <w:rsid w:val="7FBCA91B"/>
    <w:rsid w:val="7FBF679F"/>
    <w:rsid w:val="7FBF789B"/>
    <w:rsid w:val="7FBFB4CD"/>
    <w:rsid w:val="7FCF685A"/>
    <w:rsid w:val="7FDB723E"/>
    <w:rsid w:val="7FDFF882"/>
    <w:rsid w:val="7FE7749D"/>
    <w:rsid w:val="7FEC6338"/>
    <w:rsid w:val="7FF7D3E8"/>
    <w:rsid w:val="7FF87FDC"/>
    <w:rsid w:val="7FF927AE"/>
    <w:rsid w:val="7FFB4AF9"/>
    <w:rsid w:val="7FFD5523"/>
    <w:rsid w:val="7FFEF27D"/>
    <w:rsid w:val="7FFF1964"/>
    <w:rsid w:val="7FFF4A0B"/>
    <w:rsid w:val="7FFF5003"/>
    <w:rsid w:val="7FFF7227"/>
    <w:rsid w:val="7FFFC87C"/>
    <w:rsid w:val="8BBED0CE"/>
    <w:rsid w:val="8FE7F9F2"/>
    <w:rsid w:val="93F9AC0D"/>
    <w:rsid w:val="94BFD3AF"/>
    <w:rsid w:val="97CF5996"/>
    <w:rsid w:val="98E55CC9"/>
    <w:rsid w:val="9A7B1EE6"/>
    <w:rsid w:val="9BDB4B35"/>
    <w:rsid w:val="9BFBCB7D"/>
    <w:rsid w:val="9BFE8D50"/>
    <w:rsid w:val="9DFF75E3"/>
    <w:rsid w:val="9E153135"/>
    <w:rsid w:val="9F6E3376"/>
    <w:rsid w:val="9F6FD4F3"/>
    <w:rsid w:val="9FA35C73"/>
    <w:rsid w:val="9FAC4A34"/>
    <w:rsid w:val="9FBF1429"/>
    <w:rsid w:val="9FC74114"/>
    <w:rsid w:val="9FFD5126"/>
    <w:rsid w:val="9FFF33A1"/>
    <w:rsid w:val="A7FB07EA"/>
    <w:rsid w:val="A8FF30EB"/>
    <w:rsid w:val="AB631FB9"/>
    <w:rsid w:val="AB7DAFE0"/>
    <w:rsid w:val="ABFB207B"/>
    <w:rsid w:val="ADAE4971"/>
    <w:rsid w:val="ADF59F9B"/>
    <w:rsid w:val="AE9A6F8D"/>
    <w:rsid w:val="AEFD30F3"/>
    <w:rsid w:val="AFDEB1DB"/>
    <w:rsid w:val="AFFE2F94"/>
    <w:rsid w:val="AFFF700A"/>
    <w:rsid w:val="B2CDE648"/>
    <w:rsid w:val="B3076F4E"/>
    <w:rsid w:val="B3BD02C8"/>
    <w:rsid w:val="B5D50D62"/>
    <w:rsid w:val="B6C7EC74"/>
    <w:rsid w:val="B79E29B3"/>
    <w:rsid w:val="B7FE61C0"/>
    <w:rsid w:val="BAD7DBC2"/>
    <w:rsid w:val="BAF9F4EB"/>
    <w:rsid w:val="BAFFB756"/>
    <w:rsid w:val="BB5F42DD"/>
    <w:rsid w:val="BB6E4535"/>
    <w:rsid w:val="BBAFC2BF"/>
    <w:rsid w:val="BBBBA116"/>
    <w:rsid w:val="BBF35B53"/>
    <w:rsid w:val="BBF39A8D"/>
    <w:rsid w:val="BBFFC340"/>
    <w:rsid w:val="BCAA401E"/>
    <w:rsid w:val="BD3C0987"/>
    <w:rsid w:val="BD3D9456"/>
    <w:rsid w:val="BD57ECCD"/>
    <w:rsid w:val="BD7F3E71"/>
    <w:rsid w:val="BDAD9A62"/>
    <w:rsid w:val="BDCC0BFB"/>
    <w:rsid w:val="BDF75612"/>
    <w:rsid w:val="BE5FE790"/>
    <w:rsid w:val="BE7F798F"/>
    <w:rsid w:val="BEDA64EF"/>
    <w:rsid w:val="BEDBB8C1"/>
    <w:rsid w:val="BEE93372"/>
    <w:rsid w:val="BEF58ABD"/>
    <w:rsid w:val="BEFB3330"/>
    <w:rsid w:val="BEFF5396"/>
    <w:rsid w:val="BF550C2A"/>
    <w:rsid w:val="BF6B143C"/>
    <w:rsid w:val="BF760087"/>
    <w:rsid w:val="BF7F3330"/>
    <w:rsid w:val="BF7FC954"/>
    <w:rsid w:val="BFB35B43"/>
    <w:rsid w:val="BFBFE7DE"/>
    <w:rsid w:val="BFD9F318"/>
    <w:rsid w:val="BFDF4A57"/>
    <w:rsid w:val="BFEAC468"/>
    <w:rsid w:val="BFF75CD5"/>
    <w:rsid w:val="BFFB20F4"/>
    <w:rsid w:val="BFFD4F90"/>
    <w:rsid w:val="BFFE0E7E"/>
    <w:rsid w:val="BFFF1EBF"/>
    <w:rsid w:val="C5FC4124"/>
    <w:rsid w:val="C6EB5289"/>
    <w:rsid w:val="CB5BCB23"/>
    <w:rsid w:val="CD7D281E"/>
    <w:rsid w:val="CDEC5A94"/>
    <w:rsid w:val="CE7DF59E"/>
    <w:rsid w:val="CEBE2ED5"/>
    <w:rsid w:val="CF7694DF"/>
    <w:rsid w:val="D2CF0A89"/>
    <w:rsid w:val="D32F3AF8"/>
    <w:rsid w:val="D357D44C"/>
    <w:rsid w:val="D69DE4EE"/>
    <w:rsid w:val="D6ED9D8A"/>
    <w:rsid w:val="D70BD1F2"/>
    <w:rsid w:val="D7FA4A3C"/>
    <w:rsid w:val="D7FB4453"/>
    <w:rsid w:val="D9BEC266"/>
    <w:rsid w:val="DA57A8E3"/>
    <w:rsid w:val="DAB3F7DD"/>
    <w:rsid w:val="DACACA98"/>
    <w:rsid w:val="DAEF8845"/>
    <w:rsid w:val="DAFAEE48"/>
    <w:rsid w:val="DB5F76E4"/>
    <w:rsid w:val="DB975562"/>
    <w:rsid w:val="DCCE0D10"/>
    <w:rsid w:val="DCFF0189"/>
    <w:rsid w:val="DE3F9390"/>
    <w:rsid w:val="DEAB5F61"/>
    <w:rsid w:val="DF7F3FE8"/>
    <w:rsid w:val="DFDDF9EE"/>
    <w:rsid w:val="DFDFDED5"/>
    <w:rsid w:val="DFEEC732"/>
    <w:rsid w:val="DFFF5C4D"/>
    <w:rsid w:val="E27B6896"/>
    <w:rsid w:val="E2F5BAD0"/>
    <w:rsid w:val="E3BFEB9E"/>
    <w:rsid w:val="E3FAC8E3"/>
    <w:rsid w:val="E3FD3682"/>
    <w:rsid w:val="E5ED1837"/>
    <w:rsid w:val="E5FF86D7"/>
    <w:rsid w:val="E76CAB3E"/>
    <w:rsid w:val="E77C1F6F"/>
    <w:rsid w:val="E79B5727"/>
    <w:rsid w:val="E7BF5932"/>
    <w:rsid w:val="E7DFA729"/>
    <w:rsid w:val="E7FF52A4"/>
    <w:rsid w:val="E7FF6AEC"/>
    <w:rsid w:val="E9DB4FF1"/>
    <w:rsid w:val="EA774812"/>
    <w:rsid w:val="EABAC35B"/>
    <w:rsid w:val="EAD917A9"/>
    <w:rsid w:val="EB6E9AF6"/>
    <w:rsid w:val="EBBD2D7E"/>
    <w:rsid w:val="EBFDDFF2"/>
    <w:rsid w:val="EC5F67C4"/>
    <w:rsid w:val="EC5FD82A"/>
    <w:rsid w:val="ECA718A3"/>
    <w:rsid w:val="ED4724DC"/>
    <w:rsid w:val="EDBDB868"/>
    <w:rsid w:val="EDBF1092"/>
    <w:rsid w:val="EDD67860"/>
    <w:rsid w:val="EDE8E55F"/>
    <w:rsid w:val="EE7FCB8D"/>
    <w:rsid w:val="EEB3FCCB"/>
    <w:rsid w:val="EEDAE1B0"/>
    <w:rsid w:val="EEEE939E"/>
    <w:rsid w:val="EEFB24EA"/>
    <w:rsid w:val="EF37610A"/>
    <w:rsid w:val="EF3DA2AF"/>
    <w:rsid w:val="EF66DFB7"/>
    <w:rsid w:val="EF9BC1E6"/>
    <w:rsid w:val="EFC6A19B"/>
    <w:rsid w:val="EFCDC067"/>
    <w:rsid w:val="EFDF66C2"/>
    <w:rsid w:val="EFED4937"/>
    <w:rsid w:val="EFF6B022"/>
    <w:rsid w:val="EFFD58D4"/>
    <w:rsid w:val="EFFF16D3"/>
    <w:rsid w:val="F39FE5AD"/>
    <w:rsid w:val="F3BFB1DF"/>
    <w:rsid w:val="F3FF5B9C"/>
    <w:rsid w:val="F57F5E66"/>
    <w:rsid w:val="F5B713B1"/>
    <w:rsid w:val="F5EB0360"/>
    <w:rsid w:val="F5F20D6B"/>
    <w:rsid w:val="F6EF2EB1"/>
    <w:rsid w:val="F6F70041"/>
    <w:rsid w:val="F76D4FCC"/>
    <w:rsid w:val="F775C51F"/>
    <w:rsid w:val="F77FBB4C"/>
    <w:rsid w:val="F7B5B002"/>
    <w:rsid w:val="F7BDF49B"/>
    <w:rsid w:val="F7D68E62"/>
    <w:rsid w:val="F7DD6C27"/>
    <w:rsid w:val="F7DE4F8A"/>
    <w:rsid w:val="F7EF8C92"/>
    <w:rsid w:val="F7F56305"/>
    <w:rsid w:val="F7F73814"/>
    <w:rsid w:val="F7FF6492"/>
    <w:rsid w:val="F97A1ABD"/>
    <w:rsid w:val="F97BA681"/>
    <w:rsid w:val="F9ABADD5"/>
    <w:rsid w:val="F9DE644C"/>
    <w:rsid w:val="F9F95837"/>
    <w:rsid w:val="FAFA494B"/>
    <w:rsid w:val="FB745330"/>
    <w:rsid w:val="FB7FA7C7"/>
    <w:rsid w:val="FBAFE51D"/>
    <w:rsid w:val="FBB70E87"/>
    <w:rsid w:val="FBBE60AC"/>
    <w:rsid w:val="FBDBC735"/>
    <w:rsid w:val="FBDDDBE8"/>
    <w:rsid w:val="FBDE8094"/>
    <w:rsid w:val="FBFD7DFB"/>
    <w:rsid w:val="FBFF41E4"/>
    <w:rsid w:val="FBFFDD7E"/>
    <w:rsid w:val="FC9B8B9C"/>
    <w:rsid w:val="FCDF6D87"/>
    <w:rsid w:val="FCF60097"/>
    <w:rsid w:val="FCFB1490"/>
    <w:rsid w:val="FCFDC6D0"/>
    <w:rsid w:val="FCFF071B"/>
    <w:rsid w:val="FCFFBA30"/>
    <w:rsid w:val="FD9D127D"/>
    <w:rsid w:val="FDB4E3C5"/>
    <w:rsid w:val="FDDB326A"/>
    <w:rsid w:val="FDDC2548"/>
    <w:rsid w:val="FDE7FF8C"/>
    <w:rsid w:val="FDE9110A"/>
    <w:rsid w:val="FDEF7D98"/>
    <w:rsid w:val="FDFBC52B"/>
    <w:rsid w:val="FDFD0DB9"/>
    <w:rsid w:val="FDFF33EE"/>
    <w:rsid w:val="FE5E0BF8"/>
    <w:rsid w:val="FE5F0408"/>
    <w:rsid w:val="FE77C1DD"/>
    <w:rsid w:val="FE9F54B3"/>
    <w:rsid w:val="FEAAB652"/>
    <w:rsid w:val="FEBCDCAC"/>
    <w:rsid w:val="FEBDDBFD"/>
    <w:rsid w:val="FECD4E58"/>
    <w:rsid w:val="FED2EF0F"/>
    <w:rsid w:val="FEF30B64"/>
    <w:rsid w:val="FEFF853A"/>
    <w:rsid w:val="FF2F0F78"/>
    <w:rsid w:val="FF479942"/>
    <w:rsid w:val="FF4D1CBD"/>
    <w:rsid w:val="FF7731F1"/>
    <w:rsid w:val="FF7D49FA"/>
    <w:rsid w:val="FF7D7D1F"/>
    <w:rsid w:val="FF7F39B9"/>
    <w:rsid w:val="FF7F4FDE"/>
    <w:rsid w:val="FF87F0D3"/>
    <w:rsid w:val="FFA50267"/>
    <w:rsid w:val="FFAD2F3E"/>
    <w:rsid w:val="FFBC8B10"/>
    <w:rsid w:val="FFBD24B4"/>
    <w:rsid w:val="FFBF2DD4"/>
    <w:rsid w:val="FFDEA950"/>
    <w:rsid w:val="FFDF1D1F"/>
    <w:rsid w:val="FFE74FB7"/>
    <w:rsid w:val="FFE8AF28"/>
    <w:rsid w:val="FFEC1726"/>
    <w:rsid w:val="FFEF9B61"/>
    <w:rsid w:val="FFF5C759"/>
    <w:rsid w:val="FFF603C9"/>
    <w:rsid w:val="FFF76CA9"/>
    <w:rsid w:val="FFF775F6"/>
    <w:rsid w:val="FFFB108E"/>
    <w:rsid w:val="FFFB1174"/>
    <w:rsid w:val="FFFDF072"/>
    <w:rsid w:val="FFFDF855"/>
    <w:rsid w:val="FFFE9D99"/>
    <w:rsid w:val="FFFEFE17"/>
    <w:rsid w:val="FFFF1AD0"/>
    <w:rsid w:val="FFFF384B"/>
    <w:rsid w:val="FFFFF4B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iPriority="39" w:semiHidden="0" w:name="toc 2"/>
    <w:lsdException w:qFormat="1"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60" w:lineRule="auto"/>
      <w:ind w:firstLine="803" w:firstLineChars="200"/>
      <w:jc w:val="both"/>
    </w:pPr>
    <w:rPr>
      <w:rFonts w:ascii="Times New Roman" w:hAnsi="Times New Roman" w:eastAsia="方正仿宋_GBK" w:cstheme="minorBidi"/>
      <w:kern w:val="2"/>
      <w:sz w:val="32"/>
      <w:szCs w:val="22"/>
      <w:lang w:val="en-US" w:eastAsia="zh-CN" w:bidi="ar-SA"/>
    </w:rPr>
  </w:style>
  <w:style w:type="paragraph" w:styleId="3">
    <w:name w:val="heading 1"/>
    <w:basedOn w:val="1"/>
    <w:next w:val="1"/>
    <w:link w:val="27"/>
    <w:qFormat/>
    <w:uiPriority w:val="9"/>
    <w:pPr>
      <w:keepNext/>
      <w:keepLines/>
      <w:tabs>
        <w:tab w:val="left" w:pos="0"/>
        <w:tab w:val="left" w:pos="420"/>
      </w:tabs>
      <w:ind w:firstLine="0" w:firstLineChars="0"/>
      <w:jc w:val="left"/>
      <w:outlineLvl w:val="0"/>
    </w:pPr>
    <w:rPr>
      <w:rFonts w:eastAsia="方正黑体_GBK"/>
      <w:b/>
      <w:kern w:val="44"/>
    </w:rPr>
  </w:style>
  <w:style w:type="paragraph" w:styleId="4">
    <w:name w:val="heading 2"/>
    <w:basedOn w:val="2"/>
    <w:next w:val="1"/>
    <w:link w:val="26"/>
    <w:unhideWhenUsed/>
    <w:qFormat/>
    <w:uiPriority w:val="9"/>
    <w:pPr>
      <w:tabs>
        <w:tab w:val="left" w:pos="0"/>
      </w:tabs>
      <w:snapToGrid w:val="0"/>
      <w:spacing w:beforeAutospacing="1" w:afterAutospacing="1"/>
      <w:ind w:firstLine="0" w:firstLineChars="0"/>
      <w:jc w:val="left"/>
      <w:outlineLvl w:val="1"/>
    </w:pPr>
    <w:rPr>
      <w:rFonts w:hint="eastAsia" w:ascii="宋体" w:hAnsi="宋体" w:eastAsia="宋体" w:cs="Times New Roman"/>
      <w:b/>
      <w:bCs/>
      <w:kern w:val="0"/>
      <w:sz w:val="36"/>
      <w:szCs w:val="36"/>
    </w:rPr>
  </w:style>
  <w:style w:type="paragraph" w:styleId="5">
    <w:name w:val="heading 3"/>
    <w:basedOn w:val="1"/>
    <w:next w:val="1"/>
    <w:unhideWhenUsed/>
    <w:qFormat/>
    <w:uiPriority w:val="0"/>
    <w:pPr>
      <w:keepNext/>
      <w:keepLines/>
      <w:numPr>
        <w:ilvl w:val="2"/>
        <w:numId w:val="1"/>
      </w:numPr>
      <w:tabs>
        <w:tab w:val="left" w:pos="0"/>
        <w:tab w:val="clear" w:pos="420"/>
      </w:tabs>
      <w:ind w:firstLine="0" w:firstLineChars="0"/>
      <w:jc w:val="left"/>
      <w:outlineLvl w:val="2"/>
    </w:pPr>
    <w:rPr>
      <w:b/>
    </w:rPr>
  </w:style>
  <w:style w:type="paragraph" w:styleId="6">
    <w:name w:val="heading 4"/>
    <w:basedOn w:val="1"/>
    <w:next w:val="1"/>
    <w:semiHidden/>
    <w:unhideWhenUsed/>
    <w:qFormat/>
    <w:uiPriority w:val="0"/>
    <w:pPr>
      <w:keepNext/>
      <w:keepLines/>
      <w:numPr>
        <w:ilvl w:val="3"/>
        <w:numId w:val="2"/>
      </w:numPr>
      <w:ind w:firstLine="0" w:firstLineChars="0"/>
      <w:outlineLvl w:val="3"/>
    </w:pPr>
    <w:rPr>
      <w:rFonts w:eastAsia="宋体"/>
      <w:b/>
      <w:sz w:val="28"/>
    </w:rPr>
  </w:style>
  <w:style w:type="paragraph" w:styleId="7">
    <w:name w:val="heading 5"/>
    <w:basedOn w:val="1"/>
    <w:next w:val="1"/>
    <w:semiHidden/>
    <w:unhideWhenUsed/>
    <w:qFormat/>
    <w:uiPriority w:val="0"/>
    <w:pPr>
      <w:keepNext/>
      <w:keepLines/>
      <w:numPr>
        <w:ilvl w:val="4"/>
        <w:numId w:val="2"/>
      </w:numPr>
      <w:spacing w:before="280" w:after="290" w:line="372" w:lineRule="auto"/>
      <w:ind w:firstLine="0" w:firstLineChars="0"/>
      <w:outlineLvl w:val="4"/>
    </w:pPr>
    <w:rPr>
      <w:b/>
      <w:sz w:val="28"/>
    </w:rPr>
  </w:style>
  <w:style w:type="paragraph" w:styleId="8">
    <w:name w:val="heading 6"/>
    <w:basedOn w:val="1"/>
    <w:next w:val="1"/>
    <w:semiHidden/>
    <w:unhideWhenUsed/>
    <w:qFormat/>
    <w:uiPriority w:val="0"/>
    <w:pPr>
      <w:keepNext/>
      <w:keepLines/>
      <w:numPr>
        <w:ilvl w:val="5"/>
        <w:numId w:val="2"/>
      </w:numPr>
      <w:spacing w:before="240" w:after="64" w:line="317" w:lineRule="auto"/>
      <w:ind w:firstLine="0" w:firstLineChars="0"/>
      <w:outlineLvl w:val="5"/>
    </w:pPr>
    <w:rPr>
      <w:rFonts w:ascii="Arial" w:hAnsi="Arial" w:eastAsia="黑体"/>
      <w:b/>
      <w:sz w:val="24"/>
    </w:rPr>
  </w:style>
  <w:style w:type="paragraph" w:styleId="9">
    <w:name w:val="heading 7"/>
    <w:basedOn w:val="1"/>
    <w:next w:val="1"/>
    <w:semiHidden/>
    <w:unhideWhenUsed/>
    <w:qFormat/>
    <w:uiPriority w:val="0"/>
    <w:pPr>
      <w:keepNext/>
      <w:keepLines/>
      <w:numPr>
        <w:ilvl w:val="6"/>
        <w:numId w:val="2"/>
      </w:numPr>
      <w:spacing w:before="240" w:after="64" w:line="317" w:lineRule="auto"/>
      <w:ind w:firstLine="0" w:firstLineChars="0"/>
      <w:outlineLvl w:val="6"/>
    </w:pPr>
    <w:rPr>
      <w:b/>
      <w:sz w:val="24"/>
    </w:rPr>
  </w:style>
  <w:style w:type="paragraph" w:styleId="10">
    <w:name w:val="heading 8"/>
    <w:basedOn w:val="1"/>
    <w:next w:val="1"/>
    <w:semiHidden/>
    <w:unhideWhenUsed/>
    <w:qFormat/>
    <w:uiPriority w:val="0"/>
    <w:pPr>
      <w:keepNext/>
      <w:keepLines/>
      <w:numPr>
        <w:ilvl w:val="7"/>
        <w:numId w:val="2"/>
      </w:numPr>
      <w:spacing w:before="240" w:after="64" w:line="317" w:lineRule="auto"/>
      <w:ind w:firstLine="0" w:firstLineChars="0"/>
      <w:outlineLvl w:val="7"/>
    </w:pPr>
    <w:rPr>
      <w:rFonts w:ascii="Arial" w:hAnsi="Arial" w:eastAsia="黑体"/>
      <w:sz w:val="24"/>
    </w:rPr>
  </w:style>
  <w:style w:type="paragraph" w:styleId="11">
    <w:name w:val="heading 9"/>
    <w:basedOn w:val="1"/>
    <w:next w:val="1"/>
    <w:semiHidden/>
    <w:unhideWhenUsed/>
    <w:qFormat/>
    <w:uiPriority w:val="0"/>
    <w:pPr>
      <w:keepNext/>
      <w:keepLines/>
      <w:numPr>
        <w:ilvl w:val="8"/>
        <w:numId w:val="2"/>
      </w:numPr>
      <w:spacing w:before="240" w:after="64" w:line="317" w:lineRule="auto"/>
      <w:ind w:firstLine="0" w:firstLineChars="0"/>
      <w:outlineLvl w:val="8"/>
    </w:pPr>
    <w:rPr>
      <w:rFonts w:ascii="Arial" w:hAnsi="Arial" w:eastAsia="黑体"/>
      <w:sz w:val="21"/>
    </w:rPr>
  </w:style>
  <w:style w:type="character" w:default="1" w:styleId="23">
    <w:name w:val="Default Paragraph Font"/>
    <w:semiHidden/>
    <w:unhideWhenUsed/>
    <w:qFormat/>
    <w:uiPriority w:val="1"/>
  </w:style>
  <w:style w:type="table" w:default="1" w:styleId="21">
    <w:name w:val="Normal Table"/>
    <w:semiHidden/>
    <w:unhideWhenUsed/>
    <w:qFormat/>
    <w:uiPriority w:val="99"/>
    <w:tblPr>
      <w:tblCellMar>
        <w:top w:w="0" w:type="dxa"/>
        <w:left w:w="108" w:type="dxa"/>
        <w:bottom w:w="0" w:type="dxa"/>
        <w:right w:w="108" w:type="dxa"/>
      </w:tblCellMar>
    </w:tblPr>
  </w:style>
  <w:style w:type="paragraph" w:styleId="2">
    <w:name w:val="Body Text"/>
    <w:basedOn w:val="1"/>
    <w:unhideWhenUsed/>
    <w:qFormat/>
    <w:uiPriority w:val="99"/>
    <w:pPr>
      <w:spacing w:after="120"/>
    </w:pPr>
  </w:style>
  <w:style w:type="paragraph" w:styleId="12">
    <w:name w:val="annotation text"/>
    <w:basedOn w:val="1"/>
    <w:qFormat/>
    <w:uiPriority w:val="0"/>
    <w:pPr>
      <w:jc w:val="left"/>
    </w:pPr>
  </w:style>
  <w:style w:type="paragraph" w:styleId="13">
    <w:name w:val="toc 3"/>
    <w:basedOn w:val="1"/>
    <w:next w:val="1"/>
    <w:unhideWhenUsed/>
    <w:qFormat/>
    <w:uiPriority w:val="39"/>
    <w:pPr>
      <w:widowControl/>
      <w:spacing w:after="100" w:line="259" w:lineRule="auto"/>
      <w:ind w:left="440" w:firstLine="0" w:firstLineChars="0"/>
      <w:jc w:val="left"/>
    </w:pPr>
    <w:rPr>
      <w:rFonts w:cs="Times New Roman" w:asciiTheme="minorHAnsi" w:hAnsiTheme="minorHAnsi" w:eastAsiaTheme="minorEastAsia"/>
      <w:kern w:val="0"/>
      <w:sz w:val="22"/>
    </w:rPr>
  </w:style>
  <w:style w:type="paragraph" w:styleId="14">
    <w:name w:val="footer"/>
    <w:basedOn w:val="1"/>
    <w:qFormat/>
    <w:uiPriority w:val="0"/>
    <w:pPr>
      <w:tabs>
        <w:tab w:val="center" w:pos="4153"/>
        <w:tab w:val="right" w:pos="8306"/>
      </w:tabs>
      <w:snapToGrid w:val="0"/>
      <w:jc w:val="left"/>
    </w:pPr>
    <w:rPr>
      <w:sz w:val="18"/>
    </w:rPr>
  </w:style>
  <w:style w:type="paragraph" w:styleId="1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pPr>
    <w:rPr>
      <w:sz w:val="18"/>
    </w:rPr>
  </w:style>
  <w:style w:type="paragraph" w:styleId="16">
    <w:name w:val="toc 1"/>
    <w:basedOn w:val="1"/>
    <w:next w:val="1"/>
    <w:unhideWhenUsed/>
    <w:qFormat/>
    <w:uiPriority w:val="39"/>
    <w:pPr>
      <w:widowControl/>
      <w:spacing w:after="100" w:line="259" w:lineRule="auto"/>
      <w:ind w:firstLine="0" w:firstLineChars="0"/>
      <w:jc w:val="left"/>
    </w:pPr>
    <w:rPr>
      <w:rFonts w:cs="Times New Roman" w:asciiTheme="minorHAnsi" w:hAnsiTheme="minorHAnsi" w:eastAsiaTheme="minorEastAsia"/>
      <w:kern w:val="0"/>
      <w:sz w:val="22"/>
    </w:rPr>
  </w:style>
  <w:style w:type="paragraph" w:styleId="17">
    <w:name w:val="footnote text"/>
    <w:basedOn w:val="1"/>
    <w:qFormat/>
    <w:uiPriority w:val="0"/>
    <w:pPr>
      <w:snapToGrid w:val="0"/>
      <w:jc w:val="left"/>
    </w:pPr>
    <w:rPr>
      <w:sz w:val="18"/>
    </w:rPr>
  </w:style>
  <w:style w:type="paragraph" w:styleId="18">
    <w:name w:val="toc 2"/>
    <w:basedOn w:val="1"/>
    <w:next w:val="1"/>
    <w:unhideWhenUsed/>
    <w:qFormat/>
    <w:uiPriority w:val="39"/>
    <w:pPr>
      <w:widowControl/>
      <w:spacing w:after="100" w:line="259" w:lineRule="auto"/>
      <w:ind w:left="220" w:firstLine="0" w:firstLineChars="0"/>
      <w:jc w:val="left"/>
    </w:pPr>
    <w:rPr>
      <w:rFonts w:cs="Times New Roman" w:asciiTheme="minorHAnsi" w:hAnsiTheme="minorHAnsi" w:eastAsiaTheme="minorEastAsia"/>
      <w:kern w:val="0"/>
      <w:sz w:val="22"/>
    </w:rPr>
  </w:style>
  <w:style w:type="paragraph" w:styleId="19">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20">
    <w:name w:val="Normal (Web)"/>
    <w:basedOn w:val="1"/>
    <w:qFormat/>
    <w:uiPriority w:val="0"/>
    <w:rPr>
      <w:sz w:val="24"/>
    </w:rPr>
  </w:style>
  <w:style w:type="table" w:styleId="22">
    <w:name w:val="Table Grid"/>
    <w:basedOn w:val="21"/>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24">
    <w:name w:val="Strong"/>
    <w:basedOn w:val="23"/>
    <w:qFormat/>
    <w:uiPriority w:val="0"/>
    <w:rPr>
      <w:b/>
    </w:rPr>
  </w:style>
  <w:style w:type="character" w:styleId="25">
    <w:name w:val="Hyperlink"/>
    <w:basedOn w:val="23"/>
    <w:qFormat/>
    <w:uiPriority w:val="99"/>
    <w:rPr>
      <w:color w:val="0000FF"/>
      <w:u w:val="single"/>
    </w:rPr>
  </w:style>
  <w:style w:type="character" w:customStyle="1" w:styleId="26">
    <w:name w:val="标题 2 字符"/>
    <w:link w:val="4"/>
    <w:qFormat/>
    <w:uiPriority w:val="0"/>
    <w:rPr>
      <w:rFonts w:ascii="Times New Roman" w:hAnsi="Times New Roman" w:eastAsia="宋体"/>
      <w:b/>
      <w:sz w:val="32"/>
    </w:rPr>
  </w:style>
  <w:style w:type="character" w:customStyle="1" w:styleId="27">
    <w:name w:val="标题 1 字符"/>
    <w:link w:val="3"/>
    <w:qFormat/>
    <w:uiPriority w:val="0"/>
    <w:rPr>
      <w:rFonts w:ascii="Times New Roman" w:hAnsi="Times New Roman" w:eastAsia="方正黑体_GBK"/>
      <w:b/>
      <w:kern w:val="44"/>
      <w:sz w:val="32"/>
    </w:rPr>
  </w:style>
  <w:style w:type="paragraph" w:customStyle="1" w:styleId="28">
    <w:name w:val="图标备注"/>
    <w:basedOn w:val="1"/>
    <w:qFormat/>
    <w:uiPriority w:val="0"/>
    <w:pPr>
      <w:spacing w:line="240" w:lineRule="auto"/>
      <w:ind w:firstLine="0" w:firstLineChars="0"/>
    </w:pPr>
    <w:rPr>
      <w:rFonts w:eastAsia="仿宋"/>
    </w:rPr>
  </w:style>
  <w:style w:type="paragraph" w:customStyle="1" w:styleId="29">
    <w:name w:val="表格标题"/>
    <w:basedOn w:val="1"/>
    <w:qFormat/>
    <w:uiPriority w:val="0"/>
    <w:pPr>
      <w:numPr>
        <w:ilvl w:val="0"/>
        <w:numId w:val="3"/>
      </w:numPr>
      <w:spacing w:line="240" w:lineRule="auto"/>
      <w:ind w:firstLineChars="0"/>
      <w:jc w:val="center"/>
    </w:pPr>
    <w:rPr>
      <w:b/>
    </w:rPr>
  </w:style>
  <w:style w:type="paragraph" w:customStyle="1" w:styleId="30">
    <w:name w:val="图标题"/>
    <w:basedOn w:val="1"/>
    <w:qFormat/>
    <w:uiPriority w:val="0"/>
    <w:pPr>
      <w:numPr>
        <w:ilvl w:val="0"/>
        <w:numId w:val="4"/>
      </w:numPr>
      <w:spacing w:line="240" w:lineRule="auto"/>
      <w:ind w:firstLine="0" w:firstLineChars="0"/>
      <w:jc w:val="center"/>
    </w:pPr>
    <w:rPr>
      <w:b/>
    </w:rPr>
  </w:style>
  <w:style w:type="paragraph" w:customStyle="1" w:styleId="31">
    <w:name w:val="表内格式"/>
    <w:basedOn w:val="1"/>
    <w:qFormat/>
    <w:uiPriority w:val="0"/>
    <w:pPr>
      <w:spacing w:line="240" w:lineRule="auto"/>
      <w:ind w:firstLine="0" w:firstLineChars="0"/>
    </w:pPr>
    <w:rPr>
      <w:sz w:val="24"/>
    </w:rPr>
  </w:style>
  <w:style w:type="paragraph" w:customStyle="1" w:styleId="32">
    <w:name w:val="大标题"/>
    <w:basedOn w:val="1"/>
    <w:qFormat/>
    <w:uiPriority w:val="0"/>
    <w:pPr>
      <w:ind w:firstLine="0" w:firstLineChars="0"/>
      <w:jc w:val="center"/>
    </w:pPr>
    <w:rPr>
      <w:rFonts w:eastAsia="方正小标宋_GBK" w:cs="Times New Roman" w:asciiTheme="minorHAnsi" w:hAnsiTheme="minorHAnsi"/>
      <w:b/>
      <w:sz w:val="44"/>
    </w:rPr>
  </w:style>
  <w:style w:type="paragraph" w:customStyle="1" w:styleId="33">
    <w:name w:val="图片格式"/>
    <w:basedOn w:val="1"/>
    <w:qFormat/>
    <w:uiPriority w:val="0"/>
    <w:pPr>
      <w:ind w:firstLine="0" w:firstLineChars="0"/>
      <w:jc w:val="center"/>
    </w:pPr>
    <w:rPr>
      <w:b/>
    </w:rPr>
  </w:style>
  <w:style w:type="paragraph" w:customStyle="1" w:styleId="34">
    <w:name w:val="封面副标题"/>
    <w:basedOn w:val="1"/>
    <w:qFormat/>
    <w:uiPriority w:val="0"/>
    <w:pPr>
      <w:ind w:firstLine="5301" w:firstLineChars="1200"/>
      <w:jc w:val="left"/>
    </w:pPr>
    <w:rPr>
      <w:rFonts w:eastAsia="方正小标宋_GBK" w:cs="Times New Roman"/>
      <w:sz w:val="24"/>
    </w:rPr>
  </w:style>
  <w:style w:type="paragraph" w:styleId="35">
    <w:name w:val="List Paragraph"/>
    <w:basedOn w:val="1"/>
    <w:qFormat/>
    <w:uiPriority w:val="99"/>
    <w:pPr>
      <w:ind w:firstLine="420"/>
    </w:pPr>
  </w:style>
  <w:style w:type="paragraph" w:customStyle="1" w:styleId="36">
    <w:name w:val="TOC 标题1"/>
    <w:basedOn w:val="3"/>
    <w:next w:val="1"/>
    <w:unhideWhenUsed/>
    <w:qFormat/>
    <w:uiPriority w:val="39"/>
    <w:pPr>
      <w:widowControl/>
      <w:tabs>
        <w:tab w:val="clear" w:pos="0"/>
        <w:tab w:val="clear" w:pos="420"/>
      </w:tabs>
      <w:spacing w:before="240" w:line="259" w:lineRule="auto"/>
      <w:outlineLvl w:val="9"/>
    </w:pPr>
    <w:rPr>
      <w:rFonts w:asciiTheme="majorHAnsi" w:hAnsiTheme="majorHAnsi" w:eastAsiaTheme="majorEastAsia" w:cstheme="majorBidi"/>
      <w:b w:val="0"/>
      <w:color w:val="2E75B6" w:themeColor="accent1" w:themeShade="BF"/>
      <w:kern w:val="0"/>
      <w:szCs w:val="32"/>
    </w:rPr>
  </w:style>
  <w:style w:type="character" w:customStyle="1" w:styleId="37">
    <w:name w:val="未处理的提及1"/>
    <w:basedOn w:val="23"/>
    <w:semiHidden/>
    <w:unhideWhenUsed/>
    <w:qFormat/>
    <w:uiPriority w:val="99"/>
    <w:rPr>
      <w:color w:val="605E5C"/>
      <w:shd w:val="clear" w:color="auto" w:fill="E1DFDD"/>
    </w:rPr>
  </w:style>
  <w:style w:type="table" w:customStyle="1" w:styleId="38">
    <w:name w:val="Table Normal"/>
    <w:semiHidden/>
    <w:unhideWhenUsed/>
    <w:qFormat/>
    <w:uiPriority w:val="0"/>
    <w:tblPr>
      <w:tblCellMar>
        <w:top w:w="0" w:type="dxa"/>
        <w:left w:w="0" w:type="dxa"/>
        <w:bottom w:w="0" w:type="dxa"/>
        <w:right w:w="0" w:type="dxa"/>
      </w:tblCellMar>
    </w:tblPr>
  </w:style>
  <w:style w:type="paragraph" w:customStyle="1" w:styleId="39">
    <w:name w:val="Table Text"/>
    <w:basedOn w:val="1"/>
    <w:semiHidden/>
    <w:qFormat/>
    <w:uiPriority w:val="0"/>
    <w:rPr>
      <w:rFonts w:ascii="宋体" w:hAnsi="宋体" w:eastAsia="宋体" w:cs="宋体"/>
      <w:sz w:val="21"/>
      <w:szCs w:val="21"/>
      <w:lang w:val="en-US" w:eastAsia="en-US" w:bidi="ar-SA"/>
    </w:rPr>
  </w:style>
  <w:style w:type="paragraph" w:customStyle="1" w:styleId="40">
    <w:name w:val="正文 A"/>
    <w:qFormat/>
    <w:uiPriority w:val="0"/>
    <w:pPr>
      <w:widowControl w:val="0"/>
      <w:jc w:val="both"/>
    </w:pPr>
    <w:rPr>
      <w:rFonts w:ascii="Times New Roman" w:hAnsi="Times New Roman" w:eastAsia="Arial Unicode MS" w:cs="Arial Unicode MS"/>
      <w:color w:val="000000"/>
      <w:kern w:val="2"/>
      <w:sz w:val="21"/>
      <w:szCs w:val="21"/>
      <w:u w:color="000000"/>
      <w:lang w:val="en-US" w:eastAsia="zh-CN" w:bidi="ar-SA"/>
    </w:rPr>
  </w:style>
  <w:style w:type="paragraph" w:customStyle="1" w:styleId="41">
    <w:name w:val="二级无"/>
    <w:qFormat/>
    <w:uiPriority w:val="0"/>
    <w:pPr>
      <w:numPr>
        <w:ilvl w:val="2"/>
        <w:numId w:val="5"/>
      </w:numPr>
      <w:outlineLvl w:val="3"/>
    </w:pPr>
    <w:rPr>
      <w:rFonts w:ascii="宋体" w:hAnsi="Times New Roman" w:eastAsia="宋体" w:cs="Times New Roman"/>
      <w:sz w:val="21"/>
      <w:szCs w:val="21"/>
      <w:lang w:val="en-US" w:eastAsia="zh-CN" w:bidi="ar-SA"/>
    </w:rPr>
  </w:style>
  <w:style w:type="character" w:customStyle="1" w:styleId="42">
    <w:name w:val="font21"/>
    <w:basedOn w:val="23"/>
    <w:qFormat/>
    <w:uiPriority w:val="0"/>
    <w:rPr>
      <w:rFonts w:hint="eastAsia" w:ascii="方正仿宋_GBK" w:hAnsi="方正仿宋_GBK" w:eastAsia="方正仿宋_GBK" w:cs="方正仿宋_GBK"/>
      <w:b/>
      <w:bCs/>
      <w:color w:val="000000"/>
      <w:sz w:val="21"/>
      <w:szCs w:val="21"/>
      <w:u w:val="none"/>
    </w:rPr>
  </w:style>
  <w:style w:type="character" w:customStyle="1" w:styleId="43">
    <w:name w:val="font51"/>
    <w:basedOn w:val="23"/>
    <w:qFormat/>
    <w:uiPriority w:val="0"/>
    <w:rPr>
      <w:rFonts w:hint="eastAsia" w:ascii="方正仿宋_GBK" w:hAnsi="方正仿宋_GBK" w:eastAsia="方正仿宋_GBK" w:cs="方正仿宋_GBK"/>
      <w:color w:val="000000"/>
      <w:sz w:val="20"/>
      <w:szCs w:val="20"/>
      <w:u w:val="none"/>
      <w:vertAlign w:val="subscript"/>
    </w:rPr>
  </w:style>
  <w:style w:type="character" w:customStyle="1" w:styleId="44">
    <w:name w:val="font41"/>
    <w:basedOn w:val="23"/>
    <w:qFormat/>
    <w:uiPriority w:val="0"/>
    <w:rPr>
      <w:rFonts w:hint="eastAsia" w:ascii="方正仿宋_GBK" w:hAnsi="方正仿宋_GBK" w:eastAsia="方正仿宋_GBK" w:cs="方正仿宋_GBK"/>
      <w:color w:val="000000"/>
      <w:sz w:val="20"/>
      <w:szCs w:val="20"/>
      <w:u w:val="none"/>
    </w:rPr>
  </w:style>
  <w:style w:type="character" w:customStyle="1" w:styleId="45">
    <w:name w:val="font61"/>
    <w:basedOn w:val="23"/>
    <w:qFormat/>
    <w:uiPriority w:val="0"/>
    <w:rPr>
      <w:rFonts w:hint="eastAsia" w:ascii="方正仿宋_GBK" w:hAnsi="方正仿宋_GBK" w:eastAsia="方正仿宋_GBK" w:cs="方正仿宋_GBK"/>
      <w:color w:val="000000"/>
      <w:sz w:val="20"/>
      <w:szCs w:val="20"/>
      <w:u w:val="none"/>
    </w:rPr>
  </w:style>
  <w:style w:type="character" w:customStyle="1" w:styleId="46">
    <w:name w:val="font71"/>
    <w:basedOn w:val="23"/>
    <w:qFormat/>
    <w:uiPriority w:val="0"/>
    <w:rPr>
      <w:rFonts w:hint="eastAsia" w:ascii="方正仿宋_GBK" w:hAnsi="方正仿宋_GBK" w:eastAsia="方正仿宋_GBK" w:cs="方正仿宋_GBK"/>
      <w:color w:val="000000"/>
      <w:sz w:val="20"/>
      <w:szCs w:val="20"/>
      <w:u w:val="none"/>
      <w:vertAlign w:val="subscript"/>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3" Type="http://schemas.openxmlformats.org/officeDocument/2006/relationships/fontTable" Target="fontTable.xml"/><Relationship Id="rId22" Type="http://schemas.openxmlformats.org/officeDocument/2006/relationships/numbering" Target="numbering.xml"/><Relationship Id="rId21" Type="http://schemas.openxmlformats.org/officeDocument/2006/relationships/customXml" Target="../customXml/item1.xml"/><Relationship Id="rId20" Type="http://schemas.openxmlformats.org/officeDocument/2006/relationships/theme" Target="theme/theme1.xml"/><Relationship Id="rId2" Type="http://schemas.openxmlformats.org/officeDocument/2006/relationships/settings" Target="settings.xml"/><Relationship Id="rId19" Type="http://schemas.openxmlformats.org/officeDocument/2006/relationships/footer" Target="footer9.xml"/><Relationship Id="rId18" Type="http://schemas.openxmlformats.org/officeDocument/2006/relationships/header" Target="header6.xml"/><Relationship Id="rId17" Type="http://schemas.openxmlformats.org/officeDocument/2006/relationships/footer" Target="footer8.xml"/><Relationship Id="rId16" Type="http://schemas.openxmlformats.org/officeDocument/2006/relationships/footer" Target="footer7.xml"/><Relationship Id="rId15" Type="http://schemas.openxmlformats.org/officeDocument/2006/relationships/footer" Target="footer6.xml"/><Relationship Id="rId14" Type="http://schemas.openxmlformats.org/officeDocument/2006/relationships/footer" Target="footer5.xml"/><Relationship Id="rId13" Type="http://schemas.openxmlformats.org/officeDocument/2006/relationships/footer" Target="footer4.xml"/><Relationship Id="rId12" Type="http://schemas.openxmlformats.org/officeDocument/2006/relationships/header" Target="header5.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43</Pages>
  <Words>21026</Words>
  <Characters>22237</Characters>
  <Lines>67</Lines>
  <Paragraphs>19</Paragraphs>
  <TotalTime>54</TotalTime>
  <ScaleCrop>false</ScaleCrop>
  <LinksUpToDate>false</LinksUpToDate>
  <CharactersWithSpaces>22495</CharactersWithSpaces>
  <Application>WPS Office_11.8.2.11813_F1E327BC-269C-435d-A152-05C5408002CA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2023-10-01T11:15:00Z</dcterms:created>
  <dc:creator>谭师林</dc:creator>
  <cp:lastModifiedBy>薛家佳</cp:lastModifiedBy>
  <cp:lastPrinted>2026-08-26T07:32:00Z</cp:lastPrinted>
  <dcterms:modified xsi:type="dcterms:W3CDTF">2026-08-31T01:22:47Z</dcterms:modified>
  <cp:revision>111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2052-11.8.2.11813</vt:lpwstr>
  </property>
  <property fmtid="{D5CDD505-2E9C-101B-9397-08002B2CF9AE}" pid="3" name="ICV">
    <vt:lpwstr>A64E32018B2743B880623A92B3F099BE</vt:lpwstr>
  </property>
  <property fmtid="{D5CDD505-2E9C-101B-9397-08002B2CF9AE}" pid="4" name="KSOTemplateDocerSaveRecord">
    <vt:lpwstr>eyJoZGlkIjoiNGYzZGI4YzU5ZGEzZmQyNzE2NmM0YTA3ZmU4ZTQ3MTEiLCJ1c2VySWQiOiIyNDEyNjkzNDkifQ==</vt:lpwstr>
  </property>
</Properties>
</file>