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黑体" w:hAnsi="黑体" w:eastAsia="黑体" w:cs="黑体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kern w:val="0"/>
          <w:sz w:val="32"/>
          <w:szCs w:val="32"/>
          <w:lang w:val="en-US" w:eastAsia="zh-CN"/>
        </w:rPr>
        <w:t>2019年度股东大会资料十</w:t>
      </w:r>
      <w:r>
        <w:rPr>
          <w:rFonts w:hint="eastAsia" w:ascii="黑体" w:hAnsi="黑体" w:eastAsia="黑体" w:cs="黑体"/>
          <w:b/>
          <w:kern w:val="0"/>
          <w:sz w:val="32"/>
          <w:szCs w:val="32"/>
        </w:rPr>
        <w:t xml:space="preserve">                         商密A</w:t>
      </w:r>
    </w:p>
    <w:p>
      <w:pPr>
        <w:spacing w:line="60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江苏扬州农村商业银行股份有限公司</w:t>
      </w:r>
    </w:p>
    <w:p>
      <w:pPr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201</w:t>
      </w:r>
      <w:r>
        <w:rPr>
          <w:rFonts w:ascii="方正小标宋简体" w:hAnsi="宋体" w:eastAsia="方正小标宋简体"/>
          <w:sz w:val="44"/>
          <w:szCs w:val="44"/>
        </w:rPr>
        <w:t>9</w:t>
      </w:r>
      <w:r>
        <w:rPr>
          <w:rFonts w:hint="eastAsia" w:ascii="方正小标宋简体" w:hAnsi="宋体" w:eastAsia="方正小标宋简体"/>
          <w:sz w:val="44"/>
          <w:szCs w:val="44"/>
        </w:rPr>
        <w:t>年度三农金融业务执行情况报告</w:t>
      </w:r>
    </w:p>
    <w:p>
      <w:pPr>
        <w:spacing w:line="560" w:lineRule="exact"/>
        <w:ind w:firstLine="569" w:firstLineChars="189"/>
        <w:jc w:val="center"/>
        <w:rPr>
          <w:rFonts w:ascii="仿宋_GB2312" w:hAnsi="宋体" w:eastAsia="仿宋_GB2312" w:cs="宋体"/>
          <w:b/>
          <w:bCs/>
          <w:sz w:val="30"/>
          <w:szCs w:val="30"/>
        </w:rPr>
      </w:pPr>
    </w:p>
    <w:p>
      <w:pPr>
        <w:spacing w:line="560" w:lineRule="exact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股东、代理人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根据三农金融战略规划，现将201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年度三农金融业务执行情况报告如下：</w:t>
      </w:r>
    </w:p>
    <w:p>
      <w:pPr>
        <w:spacing w:beforeLines="50"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以来扬州农村商业银行（以下简称“本行”）始终坚持普惠金融理念，不断完善三农服务机制，持续提升服务三农的特色化、专业化、精细化水平，不断增强服务三农的能力和水平，现将本行一年以来三农金融业务执行情况汇报如下：</w:t>
      </w:r>
    </w:p>
    <w:p>
      <w:pPr>
        <w:spacing w:line="560" w:lineRule="exact"/>
        <w:rPr>
          <w:rFonts w:ascii="黑体" w:hAnsi="仿宋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b/>
          <w:color w:val="000000"/>
          <w:kern w:val="0"/>
          <w:sz w:val="32"/>
          <w:szCs w:val="32"/>
        </w:rPr>
        <w:t>一、坚持市场地位，提升服务“三农”质效水平</w:t>
      </w:r>
    </w:p>
    <w:p>
      <w:pPr>
        <w:spacing w:line="56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一直以来,我行三农金融工作都围绕着实施乡村振兴战略开展。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农业农村农民问题是关系国计民生的根本问题，必须始终把服务“三农”工作作为我行的重要工作来抓，作为支持“三农”的主力军，在工作中要坚守服务“三农”的市场地位，完善服务“三农”的内部机制，提升“三农”服务的有效金融供给。</w:t>
      </w:r>
    </w:p>
    <w:p>
      <w:pPr>
        <w:numPr>
          <w:ilvl w:val="0"/>
          <w:numId w:val="1"/>
        </w:numPr>
        <w:spacing w:line="560" w:lineRule="exact"/>
        <w:ind w:firstLine="643" w:firstLineChars="200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围绕乡村振兴战略，重点支持农业现代化。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以特色农业、农田、水利、农民专业合作社、家庭农场等客户为主要营销对象，特别是加强对现代农业示范区、农业龙头企业的信贷投放力度，截止到2019年末，我行农业龙头企业贷款余额13213万元。</w:t>
      </w:r>
    </w:p>
    <w:p>
      <w:pPr>
        <w:spacing w:line="560" w:lineRule="exact"/>
        <w:ind w:firstLine="643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2.全力支持地方特色农业产业体系，重点支持新型经营主体，推进农业供给侧改革。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新型农业经营主体是农村的引领力量，围绕农业生产经营主体的转变，以差异化的金融服务模式，提升对农村新型经营主体的支持效果，截至到2019年12月底，新型农业经营主体贷款余额2826万元。</w:t>
      </w:r>
    </w:p>
    <w:p>
      <w:pPr>
        <w:spacing w:line="560" w:lineRule="exact"/>
        <w:ind w:firstLine="643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3. 着力打造“有特色”的地方品牌，争做区域最具服务力的银行。</w:t>
      </w:r>
      <w:r>
        <w:rPr>
          <w:rFonts w:hint="eastAsia" w:ascii="仿宋_GB2312" w:hAnsi="宋体" w:eastAsia="仿宋_GB2312"/>
          <w:sz w:val="32"/>
          <w:szCs w:val="32"/>
        </w:rPr>
        <w:t>努力在金融服务产品、渠道、机制上围绕特色做文章、立足特色抓创新、瞄准特色创品牌，全力支持地方特色农业产业体系、生产体系、经营体系建设，促进农村一二三产业融合发展，有效拓展和延伸农业产业链、价值链。着力打造“有温度”的普惠金融，切实增强为农而立、因农而变的定力，充分发挥通农情、懂农事、知农需的优势，争做为居民幸福指数攀升贡献力量的银行，努力将金融改革发展成果惠及更多人口，为支农助农兴农注入强大的金融能量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560" w:lineRule="exact"/>
        <w:rPr>
          <w:rFonts w:ascii="黑体" w:hAnsi="仿宋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b/>
          <w:color w:val="000000"/>
          <w:kern w:val="0"/>
          <w:sz w:val="32"/>
          <w:szCs w:val="32"/>
        </w:rPr>
        <w:t>二、大力建设农村信用体系，促进三农经济发展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今年以来，本行注重辖区农村信用体系建设，着力改善农村金融服务，帮助有信用、有经济实力、有贷款需求的农户获得融资支持，促进三农经济的发展并取得一定的实效。</w:t>
      </w:r>
    </w:p>
    <w:p>
      <w:pPr>
        <w:spacing w:line="560" w:lineRule="exact"/>
        <w:ind w:firstLine="643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1.注重组织，银政协同推动实施。</w:t>
      </w:r>
      <w:r>
        <w:rPr>
          <w:rFonts w:hint="eastAsia" w:ascii="仿宋_GB2312" w:eastAsia="仿宋_GB2312"/>
          <w:sz w:val="32"/>
          <w:szCs w:val="32"/>
        </w:rPr>
        <w:t>今年以来，本行依照政府统筹、人行指导、市场运作、整村推进的原则，积极开展评定“信用户、信用村、信用镇”工作，进一步落实服务“三农”的经营理念，大胆进行金融服务创新，积极构建农村信用体系建设工作。同时为了更好的深化落实农村信用体系建设工作，在本行的积极推动和精心组织下，在2019年12月份顺利召开了扬州市信用村、信用镇授牌暨农户授信签约大会，会议共对36个信用村，两个信用镇进行了表彰，通过大会的召开，有效推动了农村信用体系的建设工作，促进乡村经济的蓬勃发展，为建设农业强、农村美、农民富的社会主义新农村贡献了本行的一份力量。</w:t>
      </w:r>
    </w:p>
    <w:p>
      <w:pPr>
        <w:spacing w:line="560" w:lineRule="exact"/>
        <w:ind w:firstLine="643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2.做精做实“阳光信贷”，推动用信升级。</w:t>
      </w: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阳光信贷工作一直以来是我行践行乡村振兴战略，推进普惠金融的重要抓手。经过前几年的深耕细作，我行“阳光信贷”建档、授信工作以及用信推广工作均取得了长足进步，尤其在2019年取得明显发展。全年累计对3613户“阳光信贷”授信农户发放纯信用贷款6813笔，金额35353万元，截止12月末，“阳光信贷”用信余额27990万元，当年增长23054万元，用信户数3355户，当年增长2791户。下一阶段我行将继续加大“阳光信贷”用信工作推广宣传，增户扩面，增加市场份额，让更多农户享受普惠金融的便捷服务，力争实现2020年“阳光信贷”用信新增4亿元，用信户数新增8000户。</w:t>
      </w:r>
    </w:p>
    <w:p>
      <w:pPr>
        <w:spacing w:line="560" w:lineRule="exact"/>
        <w:rPr>
          <w:rFonts w:ascii="黑体" w:hAnsi="仿宋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b/>
          <w:color w:val="000000"/>
          <w:kern w:val="0"/>
          <w:sz w:val="32"/>
          <w:szCs w:val="32"/>
        </w:rPr>
        <w:t>三、聚焦主责主业，加大涉农贷款投放</w:t>
      </w:r>
    </w:p>
    <w:p>
      <w:pPr>
        <w:spacing w:line="560" w:lineRule="exact"/>
        <w:ind w:firstLine="640" w:firstLineChars="200"/>
        <w:rPr>
          <w:rFonts w:ascii="仿宋_GB2312" w:hAnsi="楷体_GB2312" w:eastAsia="仿宋_GB2312" w:cs="楷体_GB2312"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bCs/>
          <w:sz w:val="32"/>
          <w:szCs w:val="32"/>
        </w:rPr>
        <w:t>做为中小农村金融机构，我行大力发展农村普惠金融，回归本源，坚守定位，持续优化服务乡村振兴体制等多项要求，同时强化考核目标，加大涉农贷款投放力度。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1.增加涉农金融有效供给。</w:t>
      </w:r>
      <w:r>
        <w:rPr>
          <w:rFonts w:hint="eastAsia" w:ascii="仿宋_GB2312" w:hAnsi="宋体" w:eastAsia="仿宋_GB2312"/>
          <w:sz w:val="32"/>
          <w:szCs w:val="32"/>
        </w:rPr>
        <w:t>扬州农商银行准确把握好自身定位，回归本源，明确重点支持领域，切实加大金融资金向乡村振兴重点领域和薄弱环节的倾斜力度，增加农村金融供给。截至2019年12月末我行涉农贷款余额44.54亿元，较年初增加4.69亿元，增速11.78%，高于各项贷款增速1.66个百分点。同时全力支持新型农业经营主体发展壮大，加大对农业龙头企业、农民合作社、家庭农场等经营主体的支持力度，促进农业产业基地化、经营产业化、产品优质化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2.大力开展银政担系列产品业务。</w:t>
      </w:r>
      <w:r>
        <w:rPr>
          <w:rFonts w:hint="eastAsia" w:ascii="仿宋_GB2312" w:hAnsi="宋体" w:eastAsia="仿宋_GB2312"/>
          <w:sz w:val="32"/>
          <w:szCs w:val="32"/>
        </w:rPr>
        <w:t>扬州农商行立足“三农”需求，针对农村合格抵押品较少，信用担保和保险机制缺失的特点，为帮助解决农业型主体“融资难、成本高”的问题，促进农村产业结构调整和农民增收，推进我市农业现代化进程，充分发挥本行在农村金融中的主力军地位。开发针对“三农”客户的精准化、个性化的信贷产品，如“省农担”、“惠农快贷”、“创业贷”、“巾帼贷”和“定向贷”等产品，在满足存量市场的同时不断拓展增量市场，提升农村金融服务水平，促进农业更好的发展。截至2019年12月末，我行发放农担系列贷款3628万元，户数69户、两创类贷款1852万元，户数32户、定向贷7581万元，31户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3.优化客户体验，实施最优服务。</w:t>
      </w:r>
      <w:r>
        <w:rPr>
          <w:rFonts w:hint="eastAsia" w:ascii="仿宋_GB2312" w:hAnsi="宋体" w:eastAsia="仿宋_GB2312"/>
          <w:sz w:val="32"/>
          <w:szCs w:val="32"/>
        </w:rPr>
        <w:t>扬州农商行紧跟国家政策方针，推出无还本续贷贷款产品，我行针对不同客户相继推出“周转易”、“融易贷”，后期将继续加大无本续贷的推进力度，。截止到2019年12月底，发放周转易贷款819万元，户数21户、融易贷2546万元，户数4户。</w:t>
      </w:r>
    </w:p>
    <w:p>
      <w:pPr>
        <w:spacing w:line="560" w:lineRule="exact"/>
        <w:rPr>
          <w:rFonts w:ascii="黑体" w:hAnsi="仿宋" w:eastAsia="黑体" w:cs="宋体"/>
          <w:b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b/>
          <w:color w:val="000000"/>
          <w:kern w:val="0"/>
          <w:sz w:val="32"/>
          <w:szCs w:val="32"/>
        </w:rPr>
        <w:t>四、大力创新三农业务，提升服务三农质量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1.创新贷款产品，打造拳头产品。</w:t>
      </w:r>
      <w:r>
        <w:rPr>
          <w:rFonts w:hint="eastAsia" w:ascii="仿宋_GB2312" w:hAnsi="宋体" w:eastAsia="仿宋_GB2312"/>
          <w:sz w:val="32"/>
          <w:szCs w:val="32"/>
        </w:rPr>
        <w:t xml:space="preserve">2019年先后提交创新流程的产品有小微e贷、存抵贷、医享贷、育培贷、快抵贷、加成贷、周转易、惠农快贷等产品流程，但限制于流程和产品市场的实际操作性，前4款创设并没有落地，但也推出适用于三农的“快抵贷”、“加成贷”、“周转易”等几款零售贷款拳头产品，自5月8日“快抵贷”新产品发布，截至12月末，我行已“快抵贷”用信金额8.82亿元，户数922；“加成贷”用信金额1.75亿元，户数339户。无还本续贷功能 “周转易”金额1405万元，户数24户，成为了客户经理手中的营销利器。推出了“惠农快贷”，解决了在扬从事农业项目的外地人，因无法提供有效抵押和担保而无法获取信贷资金的问题，新增客户69户，金额3628万元。 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2.推动阳光年审，创新授信方式。</w:t>
      </w:r>
      <w:r>
        <w:rPr>
          <w:rFonts w:hint="eastAsia" w:ascii="仿宋_GB2312" w:hAnsi="宋体" w:eastAsia="仿宋_GB2312"/>
          <w:sz w:val="32"/>
          <w:szCs w:val="32"/>
        </w:rPr>
        <w:t>本行一是通过打造精准营销平台，推行客户档案完善，在此基础上，推行阳光信贷年审，一方面对存量授信农户进行再次梳理，剔除信用状况恶化的不良客户，维持一般客户授信额度，对已用信无不良客户进行提额，另一方面通过走访建档，引入新的未入册客户进行评议授信，新增加授信客户7970户，新增授信金额8.6亿元。二是不断优化信贷系统，增加预授信功能，改变了原来客户用信需要亲赴我行申请的局面，直接在信贷系统中将授信额度统一导入，客户直接在手机银行申请即可，大大提高客户体验的同时，也极大的减轻了客户经理工作量。一共导入授信50445条，授信金额50.92亿元，另有23086户因系统内户籍号有重复而无法导入预授信信息，正与省联社相关人员联系，力争通过批量的方式进行修改，减少支行的工作压力。</w:t>
      </w:r>
    </w:p>
    <w:p>
      <w:pPr>
        <w:spacing w:line="560" w:lineRule="exact"/>
        <w:ind w:firstLine="643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楷体_GB2312" w:hAnsi="仿宋" w:eastAsia="楷体_GB2312"/>
          <w:b/>
          <w:color w:val="000000"/>
          <w:sz w:val="32"/>
          <w:szCs w:val="32"/>
        </w:rPr>
        <w:t>3.加强服务三农队伍建设，夯实三农业务基础。</w:t>
      </w:r>
      <w:r>
        <w:rPr>
          <w:rFonts w:hint="eastAsia" w:ascii="仿宋_GB2312" w:hAnsi="宋体" w:eastAsia="仿宋_GB2312"/>
          <w:sz w:val="32"/>
          <w:szCs w:val="32"/>
        </w:rPr>
        <w:t>通过建立职责清晰的客户经理队伍，不断完善和细化分工。本行目前有农村网点22家，客户经理55名，同时在部分乡镇网点还配备了阳光信贷专员，专门负责区域内的三农金融业务。同时对这部分的客户经理和阳光信贷专员进行持续、完整的培训，今年累计开展培训13次，从而不断夯实业务基础，提升服务意识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以上报告，请予审议。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2020年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日</w:t>
      </w:r>
    </w:p>
    <w:sectPr>
      <w:footerReference r:id="rId3" w:type="default"/>
      <w:pgSz w:w="11907" w:h="16840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3263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56A4D6"/>
    <w:multiLevelType w:val="singleLevel"/>
    <w:tmpl w:val="C356A4D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bookFoldPrinting w:val="1"/>
  <w:bookFoldPrintingSheets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249F"/>
    <w:rsid w:val="0001064E"/>
    <w:rsid w:val="0009675E"/>
    <w:rsid w:val="000A7FFB"/>
    <w:rsid w:val="000B5824"/>
    <w:rsid w:val="000F73B9"/>
    <w:rsid w:val="00177CAB"/>
    <w:rsid w:val="00182F51"/>
    <w:rsid w:val="001D3D3F"/>
    <w:rsid w:val="002D58F5"/>
    <w:rsid w:val="00411652"/>
    <w:rsid w:val="00414CB3"/>
    <w:rsid w:val="0043249F"/>
    <w:rsid w:val="00433348"/>
    <w:rsid w:val="0053620C"/>
    <w:rsid w:val="00552001"/>
    <w:rsid w:val="00560509"/>
    <w:rsid w:val="00567A00"/>
    <w:rsid w:val="00567EE9"/>
    <w:rsid w:val="00576EEE"/>
    <w:rsid w:val="00594233"/>
    <w:rsid w:val="00596963"/>
    <w:rsid w:val="00642971"/>
    <w:rsid w:val="00672F04"/>
    <w:rsid w:val="00724F09"/>
    <w:rsid w:val="007F4458"/>
    <w:rsid w:val="00840881"/>
    <w:rsid w:val="00932994"/>
    <w:rsid w:val="00976A58"/>
    <w:rsid w:val="009D1CEE"/>
    <w:rsid w:val="009E2A68"/>
    <w:rsid w:val="00AE4237"/>
    <w:rsid w:val="00B06B1E"/>
    <w:rsid w:val="00B437CC"/>
    <w:rsid w:val="00B95774"/>
    <w:rsid w:val="00BF7C13"/>
    <w:rsid w:val="00C94C9B"/>
    <w:rsid w:val="00E7563D"/>
    <w:rsid w:val="00F163A8"/>
    <w:rsid w:val="00F72AE6"/>
    <w:rsid w:val="00F84A74"/>
    <w:rsid w:val="00F93BEE"/>
    <w:rsid w:val="148E15E6"/>
    <w:rsid w:val="26570CDB"/>
    <w:rsid w:val="2FD65275"/>
    <w:rsid w:val="77F604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rPr>
      <w:szCs w:val="21"/>
    </w:rPr>
  </w:style>
  <w:style w:type="character" w:customStyle="1" w:styleId="7">
    <w:name w:val="页眉 Char"/>
    <w:basedOn w:val="5"/>
    <w:link w:val="3"/>
    <w:qFormat/>
    <w:uiPriority w:val="0"/>
    <w:rPr>
      <w:rFonts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472</Words>
  <Characters>2693</Characters>
  <Lines>22</Lines>
  <Paragraphs>6</Paragraphs>
  <TotalTime>0</TotalTime>
  <ScaleCrop>false</ScaleCrop>
  <LinksUpToDate>false</LinksUpToDate>
  <CharactersWithSpaces>3159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2020-01-22T06:32:00Z</dcterms:created>
  <dc:creator>Administrator</dc:creator>
  <cp:lastModifiedBy>Administrator</cp:lastModifiedBy>
  <cp:lastPrinted>2020-03-10T11:50:00Z</cp:lastPrinted>
  <dcterms:modified xsi:type="dcterms:W3CDTF">2020-04-13T08:07:28Z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