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  <w:lang w:val="en-US" w:eastAsia="zh-CN"/>
        </w:rPr>
        <w:t>2019年度股东大会资料一</w:t>
      </w:r>
      <w:r>
        <w:rPr>
          <w:rFonts w:hint="eastAsia" w:ascii="黑体" w:hAnsi="黑体" w:eastAsia="黑体" w:cs="黑体"/>
          <w:b/>
          <w:kern w:val="0"/>
          <w:sz w:val="32"/>
          <w:szCs w:val="32"/>
        </w:rPr>
        <w:t xml:space="preserve">                        商密A</w:t>
      </w:r>
    </w:p>
    <w:p>
      <w:pPr>
        <w:spacing w:line="5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kern w:val="0"/>
          <w:sz w:val="44"/>
          <w:szCs w:val="44"/>
        </w:rPr>
        <w:t>江苏扬州农村商业银行股份有限公司</w:t>
      </w:r>
    </w:p>
    <w:p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hAnsi="宋体" w:eastAsia="方正小标宋简体" w:cs="Times New Roman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kern w:val="0"/>
          <w:sz w:val="44"/>
          <w:szCs w:val="44"/>
        </w:rPr>
        <w:t>2019年度董事会工作报告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hAnsi="仿宋" w:eastAsia="仿宋_GB2312"/>
          <w:color w:val="333333"/>
          <w:spacing w:val="5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各位股东、代理人：</w:t>
      </w:r>
      <w:bookmarkStart w:id="3" w:name="_GoBack"/>
      <w:bookmarkEnd w:id="3"/>
    </w:p>
    <w:p>
      <w:pPr>
        <w:spacing w:line="560" w:lineRule="exact"/>
        <w:ind w:firstLine="66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根据会议安排，现在由我向各位报告2019年度董事会工作及2020年工作安排，请予审议并提出意见和建议。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一、2019年工作回顾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2019年，面对风险挑战明显上升的复杂局面，面对改革转型不断显现的困难矛盾，全行以高质量发展为目标，以零售银行转型为主线，不忘初心、担当作为、砥砺前行，经营管理稳中有进、稳中向好。至年末，资产总额</w:t>
      </w:r>
      <w:r>
        <w:rPr>
          <w:rFonts w:hint="eastAsia" w:ascii="仿宋_GB2312" w:eastAsia="仿宋_GB2312" w:cs="仿宋_GB2312"/>
          <w:bCs/>
          <w:sz w:val="32"/>
          <w:szCs w:val="32"/>
        </w:rPr>
        <w:t>335.86</w:t>
      </w:r>
      <w:r>
        <w:rPr>
          <w:rFonts w:hint="eastAsia" w:ascii="仿宋_GB2312" w:eastAsia="仿宋_GB2312"/>
          <w:sz w:val="32"/>
          <w:szCs w:val="32"/>
        </w:rPr>
        <w:t>亿元，比年初增加</w:t>
      </w:r>
      <w:r>
        <w:rPr>
          <w:rFonts w:hint="eastAsia" w:ascii="仿宋_GB2312" w:eastAsia="仿宋_GB2312" w:cs="仿宋_GB2312"/>
          <w:bCs/>
          <w:sz w:val="32"/>
          <w:szCs w:val="32"/>
        </w:rPr>
        <w:t>15.07</w:t>
      </w:r>
      <w:r>
        <w:rPr>
          <w:rFonts w:hint="eastAsia" w:ascii="仿宋_GB2312" w:eastAsia="仿宋_GB2312"/>
          <w:sz w:val="32"/>
          <w:szCs w:val="32"/>
        </w:rPr>
        <w:t>亿元；各项存款余额</w:t>
      </w:r>
      <w:r>
        <w:rPr>
          <w:rFonts w:ascii="仿宋_GB2312" w:eastAsia="仿宋_GB2312"/>
          <w:sz w:val="32"/>
          <w:szCs w:val="32"/>
        </w:rPr>
        <w:t>280.05</w:t>
      </w:r>
      <w:r>
        <w:rPr>
          <w:rFonts w:hint="eastAsia" w:ascii="仿宋_GB2312" w:eastAsia="仿宋_GB2312"/>
          <w:sz w:val="32"/>
          <w:szCs w:val="32"/>
        </w:rPr>
        <w:t>亿元，比年初增加18.07亿元，储蓄存款</w:t>
      </w:r>
      <w:r>
        <w:rPr>
          <w:rFonts w:ascii="仿宋_GB2312" w:eastAsia="仿宋_GB2312"/>
          <w:sz w:val="32"/>
          <w:szCs w:val="32"/>
        </w:rPr>
        <w:t>比年初增加27.4亿元</w:t>
      </w:r>
      <w:r>
        <w:rPr>
          <w:rFonts w:hint="eastAsia" w:ascii="仿宋_GB2312" w:eastAsia="仿宋_GB2312"/>
          <w:sz w:val="32"/>
          <w:szCs w:val="32"/>
        </w:rPr>
        <w:t>；各项贷款余额</w:t>
      </w:r>
      <w:r>
        <w:rPr>
          <w:rFonts w:ascii="仿宋_GB2312" w:eastAsia="仿宋_GB2312"/>
          <w:sz w:val="32"/>
          <w:szCs w:val="32"/>
        </w:rPr>
        <w:t>219.57</w:t>
      </w:r>
      <w:r>
        <w:rPr>
          <w:rFonts w:hint="eastAsia" w:ascii="仿宋_GB2312" w:eastAsia="仿宋_GB2312"/>
          <w:sz w:val="32"/>
          <w:szCs w:val="32"/>
        </w:rPr>
        <w:t>亿元,比年初增加</w:t>
      </w:r>
      <w:r>
        <w:rPr>
          <w:rFonts w:ascii="仿宋_GB2312" w:eastAsia="仿宋_GB2312"/>
          <w:sz w:val="32"/>
          <w:szCs w:val="32"/>
        </w:rPr>
        <w:t>19.64</w:t>
      </w:r>
      <w:r>
        <w:rPr>
          <w:rFonts w:hint="eastAsia" w:ascii="仿宋_GB2312" w:eastAsia="仿宋_GB2312"/>
          <w:sz w:val="32"/>
          <w:szCs w:val="32"/>
        </w:rPr>
        <w:t>亿元，</w:t>
      </w:r>
      <w:r>
        <w:rPr>
          <w:rFonts w:ascii="仿宋_GB2312" w:eastAsia="仿宋_GB2312"/>
          <w:sz w:val="32"/>
          <w:szCs w:val="32"/>
        </w:rPr>
        <w:t>贷款户数比年初增加3238户</w:t>
      </w:r>
      <w:r>
        <w:rPr>
          <w:rFonts w:hint="eastAsia" w:ascii="仿宋_GB2312" w:eastAsia="仿宋_GB2312"/>
          <w:sz w:val="32"/>
          <w:szCs w:val="32"/>
        </w:rPr>
        <w:t>；</w:t>
      </w:r>
      <w:r>
        <w:rPr>
          <w:rFonts w:ascii="仿宋_GB2312" w:eastAsia="仿宋_GB2312"/>
          <w:sz w:val="32"/>
          <w:szCs w:val="32"/>
        </w:rPr>
        <w:t>手机银行27.03万户，比年初增加13.93万户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收单商户26104户，比年初增加23191户，社保卡发卡64.62万张，比年初增加17.04万张</w:t>
      </w:r>
      <w:r>
        <w:rPr>
          <w:rFonts w:hint="eastAsia" w:ascii="仿宋_GB2312" w:eastAsia="仿宋_GB2312"/>
          <w:sz w:val="32"/>
          <w:szCs w:val="32"/>
        </w:rPr>
        <w:t>；总收入</w:t>
      </w:r>
      <w:r>
        <w:rPr>
          <w:rFonts w:ascii="仿宋_GB2312" w:eastAsia="仿宋_GB2312"/>
          <w:sz w:val="32"/>
          <w:szCs w:val="32"/>
        </w:rPr>
        <w:t>16.04</w:t>
      </w:r>
      <w:r>
        <w:rPr>
          <w:rFonts w:hint="eastAsia" w:ascii="仿宋_GB2312" w:eastAsia="仿宋_GB2312"/>
          <w:sz w:val="32"/>
          <w:szCs w:val="32"/>
        </w:rPr>
        <w:t>亿元，</w:t>
      </w:r>
      <w:r>
        <w:rPr>
          <w:rFonts w:ascii="仿宋_GB2312" w:eastAsia="仿宋_GB2312"/>
          <w:sz w:val="32"/>
          <w:szCs w:val="32"/>
        </w:rPr>
        <w:t>利润总额3.38亿元</w:t>
      </w:r>
      <w:r>
        <w:rPr>
          <w:rFonts w:hint="eastAsia" w:ascii="仿宋_GB2312" w:eastAsia="仿宋_GB2312"/>
          <w:sz w:val="32"/>
          <w:szCs w:val="32"/>
        </w:rPr>
        <w:t>；每股净资产4.11元，比上年增加0.41元。连续9年被评为省级文明单位。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（一）夯实根基，公司治理更加规范有效</w:t>
      </w:r>
    </w:p>
    <w:p>
      <w:pPr>
        <w:spacing w:line="560" w:lineRule="exact"/>
        <w:ind w:firstLine="643" w:firstLineChars="200"/>
        <w:rPr>
          <w:rFonts w:ascii="仿宋_GB2312" w:hAnsi="仿宋" w:eastAsia="仿宋_GB2312"/>
          <w:color w:val="333333"/>
          <w:spacing w:val="5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一是开好相关会议，依法合规决策。</w:t>
      </w:r>
      <w:r>
        <w:rPr>
          <w:rFonts w:hint="eastAsia" w:ascii="仿宋_GB2312" w:eastAsia="仿宋_GB2312"/>
          <w:sz w:val="32"/>
          <w:szCs w:val="32"/>
        </w:rPr>
        <w:t>召集年度股东大会，会议决议均已得到执行或实施；召开7次董事会会议，审议通过55项议案、听取16项报告，决策推动了发展战略、风控政策、资本规划、股权管理、高管层考评等重点工作；坚持党的核心领导地位，严格执行“三重一大”决策机制，将党建与公司治理有机融合。</w:t>
      </w:r>
      <w:r>
        <w:rPr>
          <w:rFonts w:hint="eastAsia" w:ascii="仿宋_GB2312" w:eastAsia="仿宋_GB2312"/>
          <w:b/>
          <w:sz w:val="32"/>
          <w:szCs w:val="32"/>
        </w:rPr>
        <w:t>二是强化顶层设计，制定战略规划。</w:t>
      </w:r>
      <w:r>
        <w:rPr>
          <w:rFonts w:hint="eastAsia" w:ascii="仿宋_GB2312" w:eastAsia="仿宋_GB2312"/>
          <w:sz w:val="32"/>
          <w:szCs w:val="32"/>
        </w:rPr>
        <w:t>引进专业公司提供咨询意见，审议通过了《扬州农村商业银行2019-2023年战略规划》，确立了“一零二四”</w:t>
      </w:r>
      <w:r>
        <w:rPr>
          <w:rStyle w:val="9"/>
          <w:rFonts w:ascii="仿宋_GB2312" w:eastAsia="仿宋_GB2312"/>
          <w:sz w:val="32"/>
          <w:szCs w:val="32"/>
        </w:rPr>
        <w:footnoteReference w:id="0"/>
      </w:r>
      <w:r>
        <w:rPr>
          <w:rFonts w:hint="eastAsia" w:ascii="仿宋_GB2312" w:eastAsia="仿宋_GB2312"/>
          <w:sz w:val="32"/>
          <w:szCs w:val="32"/>
        </w:rPr>
        <w:t>为核心内容的战略体系，围绕战略落地研究</w:t>
      </w:r>
      <w:r>
        <w:rPr>
          <w:rFonts w:hint="eastAsia" w:ascii="仿宋_GB2312" w:hAnsi="仿宋" w:eastAsia="仿宋_GB2312"/>
          <w:color w:val="333333"/>
          <w:kern w:val="0"/>
          <w:sz w:val="32"/>
          <w:szCs w:val="32"/>
        </w:rPr>
        <w:t>制定了年度20个重点项目，引导</w:t>
      </w:r>
      <w:r>
        <w:rPr>
          <w:rFonts w:hint="eastAsia" w:ascii="仿宋_GB2312" w:hAnsi="仿宋" w:eastAsia="仿宋_GB2312"/>
          <w:kern w:val="0"/>
          <w:sz w:val="32"/>
          <w:szCs w:val="32"/>
        </w:rPr>
        <w:t>全行经营管理整体推进、重点突破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b/>
          <w:sz w:val="32"/>
          <w:szCs w:val="32"/>
        </w:rPr>
        <w:t>三是优化运作机制，增强履职能力。</w:t>
      </w:r>
      <w:r>
        <w:rPr>
          <w:rFonts w:hint="eastAsia" w:ascii="仿宋_GB2312" w:eastAsia="仿宋_GB2312"/>
          <w:sz w:val="32"/>
          <w:szCs w:val="32"/>
        </w:rPr>
        <w:t>完善董事履职档案，注重董事会专门委员会作用发挥，将部分专门委员会负责人调整为专业性强、工作经验丰富的独董担任；扎实开展专题调研，形成5份调研报告，并在经营管理实践中采纳相关建议；充分发挥董办的督办职能，开发上线督办管理系统，全年对89项重点工作任务进行线上跟踪督办，有效提升执行力和工作效率。</w:t>
      </w:r>
      <w:r>
        <w:rPr>
          <w:rFonts w:hint="eastAsia" w:ascii="仿宋_GB2312" w:eastAsia="仿宋_GB2312"/>
          <w:b/>
          <w:sz w:val="32"/>
          <w:szCs w:val="32"/>
        </w:rPr>
        <w:t>四是强化考核督促，推进争先进位。</w:t>
      </w:r>
      <w:r>
        <w:rPr>
          <w:rFonts w:hint="eastAsia" w:ascii="仿宋_GB2312" w:eastAsia="仿宋_GB2312"/>
          <w:sz w:val="32"/>
          <w:szCs w:val="32"/>
        </w:rPr>
        <w:t>建立完善董事会对行长室、高管人员考核办法，突出监管评级、省联社等级行考核指标权重，按季对“三占比四增速”、监管二级主要指标完成情况进行评估，提示行长室强弱项、补短板，至年末“三占比四增速”指标全部达成，主要监管指标基本达到良好银行标准。</w:t>
      </w:r>
      <w:r>
        <w:rPr>
          <w:rFonts w:hint="eastAsia" w:ascii="仿宋_GB2312" w:eastAsia="仿宋_GB2312"/>
          <w:b/>
          <w:sz w:val="32"/>
          <w:szCs w:val="32"/>
        </w:rPr>
        <w:t>五是</w:t>
      </w:r>
      <w:r>
        <w:rPr>
          <w:rFonts w:hint="eastAsia" w:ascii="仿宋_GB2312" w:hAnsi="仿宋" w:eastAsia="仿宋_GB2312" w:cs="仿宋"/>
          <w:b/>
          <w:spacing w:val="5"/>
          <w:sz w:val="32"/>
          <w:szCs w:val="32"/>
        </w:rPr>
        <w:t>匹配战略导向，</w:t>
      </w:r>
      <w:r>
        <w:rPr>
          <w:rFonts w:hint="eastAsia" w:ascii="仿宋_GB2312" w:eastAsia="仿宋_GB2312"/>
          <w:b/>
          <w:sz w:val="32"/>
          <w:szCs w:val="32"/>
        </w:rPr>
        <w:t>聚焦做强总部。</w:t>
      </w:r>
      <w:r>
        <w:rPr>
          <w:rFonts w:hint="eastAsia" w:ascii="仿宋_GB2312" w:hAnsi="仿宋" w:eastAsia="仿宋_GB2312" w:cs="仿宋"/>
          <w:spacing w:val="5"/>
          <w:sz w:val="32"/>
          <w:szCs w:val="32"/>
        </w:rPr>
        <w:t>以</w:t>
      </w: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“强总部”为战略制高点，</w:t>
      </w:r>
      <w:r>
        <w:rPr>
          <w:rFonts w:hint="eastAsia" w:ascii="仿宋_GB2312" w:eastAsia="仿宋_GB2312"/>
          <w:sz w:val="32"/>
          <w:szCs w:val="32"/>
        </w:rPr>
        <w:t>充分发挥总行在流程优化、产品创新、科技赋能、文化建设以及推进措施等方面的职能，不断提升总行的支撑能力和服务能力，实现后台服务前台、总行服务基层的良好态势。</w:t>
      </w:r>
    </w:p>
    <w:p>
      <w:pPr>
        <w:spacing w:line="560" w:lineRule="exact"/>
        <w:ind w:firstLine="660" w:firstLineChars="200"/>
        <w:rPr>
          <w:rFonts w:ascii="楷体_GB2312" w:hAnsi="仿宋" w:eastAsia="楷体_GB2312"/>
          <w:color w:val="333333"/>
          <w:spacing w:val="5"/>
          <w:sz w:val="32"/>
          <w:szCs w:val="32"/>
        </w:rPr>
      </w:pPr>
      <w:r>
        <w:rPr>
          <w:rFonts w:hint="eastAsia" w:ascii="楷体_GB2312" w:hAnsi="仿宋" w:eastAsia="楷体_GB2312"/>
          <w:color w:val="333333"/>
          <w:spacing w:val="5"/>
          <w:sz w:val="32"/>
          <w:szCs w:val="32"/>
        </w:rPr>
        <w:t>（二）坚守定位，支农支小更加精准务实</w:t>
      </w:r>
    </w:p>
    <w:p>
      <w:pPr>
        <w:spacing w:line="560" w:lineRule="exact"/>
        <w:ind w:firstLine="643" w:firstLineChars="200"/>
        <w:rPr>
          <w:rFonts w:ascii="楷体_GB2312" w:hAnsi="仿宋" w:eastAsia="楷体_GB2312"/>
          <w:color w:val="333333"/>
          <w:spacing w:val="5"/>
          <w:sz w:val="32"/>
          <w:szCs w:val="32"/>
        </w:rPr>
      </w:pPr>
      <w:r>
        <w:rPr>
          <w:rFonts w:hint="eastAsia" w:ascii="仿宋_GB2312" w:eastAsia="仿宋_GB2312" w:cs="新宋体"/>
          <w:b/>
          <w:sz w:val="32"/>
          <w:szCs w:val="32"/>
        </w:rPr>
        <w:t>一是聚焦主责主业。</w:t>
      </w:r>
      <w:r>
        <w:rPr>
          <w:rFonts w:hint="eastAsia" w:ascii="仿宋_GB2312" w:eastAsia="仿宋_GB2312"/>
          <w:sz w:val="32"/>
          <w:szCs w:val="32"/>
        </w:rPr>
        <w:t>制定支农支小“三年攻坚战”实施方案，确定了“1234工程”总目标，即：涉农贷款累计投放100亿元、“阳光信贷”信用贷款投放2万户、总贷款余额达300亿元、贷款总户数达4万户。活动从7月份开展后，当年新增投放零售贷款（单户500万以内）7.86亿元，新增获客1950户。</w:t>
      </w:r>
      <w:r>
        <w:rPr>
          <w:rFonts w:hint="eastAsia" w:ascii="仿宋_GB2312" w:eastAsia="仿宋_GB2312"/>
          <w:b/>
          <w:sz w:val="32"/>
          <w:szCs w:val="32"/>
        </w:rPr>
        <w:t>二是坚持做小做散</w:t>
      </w:r>
      <w:r>
        <w:rPr>
          <w:rFonts w:hint="eastAsia" w:ascii="仿宋_GB2312" w:eastAsia="仿宋_GB2312"/>
          <w:sz w:val="32"/>
          <w:szCs w:val="32"/>
        </w:rPr>
        <w:t>。扎实推进</w:t>
      </w: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“阳光信贷”，配套纯信用线上贷产品，促进“阳光信贷”迅速推广、快速见效，</w:t>
      </w:r>
      <w:r>
        <w:rPr>
          <w:rFonts w:hint="eastAsia" w:ascii="仿宋_GB2312" w:eastAsia="仿宋_GB2312"/>
          <w:snapToGrid w:val="0"/>
          <w:sz w:val="32"/>
          <w:szCs w:val="32"/>
        </w:rPr>
        <w:t>年末</w:t>
      </w: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“阳光信贷”</w:t>
      </w:r>
      <w:r>
        <w:rPr>
          <w:rFonts w:hint="eastAsia" w:ascii="仿宋_GB2312" w:eastAsia="仿宋_GB2312"/>
          <w:snapToGrid w:val="0"/>
          <w:sz w:val="32"/>
          <w:szCs w:val="32"/>
        </w:rPr>
        <w:t>用信户数较年初增加2790户，</w:t>
      </w:r>
      <w:r>
        <w:rPr>
          <w:rFonts w:hint="eastAsia" w:ascii="仿宋_GB2312" w:hAnsi="仿宋" w:eastAsia="仿宋_GB2312"/>
          <w:bCs/>
          <w:sz w:val="32"/>
          <w:szCs w:val="32"/>
        </w:rPr>
        <w:t>用信金额较年初增加2.3亿元；</w:t>
      </w:r>
      <w:r>
        <w:rPr>
          <w:rFonts w:hint="eastAsia" w:ascii="仿宋_GB2312" w:eastAsia="仿宋_GB2312"/>
          <w:sz w:val="32"/>
          <w:szCs w:val="32"/>
        </w:rPr>
        <w:t>专注300万元以下零售类和500—1000万元公司类贷款客户的拓展，全年新增普惠口径小微贷款7.03亿元。</w:t>
      </w:r>
      <w:r>
        <w:rPr>
          <w:rFonts w:hint="eastAsia" w:ascii="仿宋_GB2312" w:eastAsia="仿宋_GB2312"/>
          <w:b/>
          <w:sz w:val="32"/>
          <w:szCs w:val="32"/>
        </w:rPr>
        <w:t>三是创设拳头产品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hAnsi="Helvetica" w:eastAsia="仿宋_GB2312" w:cs="Helvetica"/>
          <w:color w:val="000000"/>
          <w:sz w:val="32"/>
          <w:szCs w:val="32"/>
        </w:rPr>
        <w:t>以客户需求为导向，</w:t>
      </w:r>
      <w:r>
        <w:rPr>
          <w:rFonts w:hint="eastAsia" w:ascii="仿宋_GB2312" w:eastAsia="仿宋_GB2312"/>
          <w:sz w:val="32"/>
          <w:szCs w:val="32"/>
        </w:rPr>
        <w:t>创新推出支农支小拳头产品“快抵贷”、“加成贷”、“惠农快贷”、“周转易”，4款产品占据全年零售贷款增长额的90%以上。</w:t>
      </w:r>
      <w:r>
        <w:rPr>
          <w:rFonts w:hint="eastAsia" w:ascii="仿宋_GB2312" w:hAnsi="Calibri" w:eastAsia="仿宋_GB2312" w:cs="Times New Roman"/>
          <w:b/>
          <w:sz w:val="32"/>
          <w:szCs w:val="32"/>
        </w:rPr>
        <w:t>四是助力乡村振兴。</w:t>
      </w:r>
      <w:r>
        <w:rPr>
          <w:rFonts w:hint="eastAsia" w:ascii="仿宋_GB2312" w:hAnsi="Calibri" w:eastAsia="仿宋_GB2312" w:cs="Times New Roman"/>
          <w:sz w:val="32"/>
          <w:szCs w:val="32"/>
        </w:rPr>
        <w:t>分别与湾头镇7个村（社区）、新盛街道10个社区党支部签订了共建协议，遴选出首批17名优秀客户经理到村、到社区挂职“金融助理”，</w:t>
      </w:r>
      <w:r>
        <w:rPr>
          <w:rFonts w:ascii="Times New Roman" w:hAnsi="Times New Roman" w:eastAsia="仿宋_GB2312" w:cs="Times New Roman"/>
          <w:sz w:val="32"/>
          <w:szCs w:val="32"/>
        </w:rPr>
        <w:t>探索出一条有效融入千家万户的新途径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hint="eastAsia" w:ascii="仿宋_GB2312" w:hAnsi="Helvetica" w:eastAsia="仿宋_GB2312" w:cs="Helvetica"/>
          <w:b/>
          <w:color w:val="000000"/>
          <w:sz w:val="32"/>
          <w:szCs w:val="32"/>
        </w:rPr>
        <w:t>五是</w:t>
      </w:r>
      <w:r>
        <w:rPr>
          <w:rFonts w:hint="eastAsia" w:ascii="仿宋_GB2312" w:hAnsi="宋体" w:eastAsia="仿宋_GB2312"/>
          <w:b/>
          <w:bCs/>
          <w:sz w:val="32"/>
          <w:szCs w:val="32"/>
        </w:rPr>
        <w:t>切实减费让利。</w:t>
      </w:r>
      <w:r>
        <w:rPr>
          <w:rFonts w:hint="eastAsia" w:ascii="仿宋_GB2312" w:hAnsi="Helvetica" w:eastAsia="仿宋_GB2312" w:cs="Helvetica"/>
          <w:color w:val="000000"/>
          <w:sz w:val="32"/>
          <w:szCs w:val="32"/>
        </w:rPr>
        <w:t>稳健运营无还本续贷业务</w:t>
      </w:r>
      <w:r>
        <w:rPr>
          <w:rFonts w:hint="eastAsia" w:ascii="仿宋_GB2312" w:hAnsi="宋体" w:eastAsia="仿宋_GB2312"/>
          <w:sz w:val="32"/>
          <w:szCs w:val="32"/>
        </w:rPr>
        <w:t>，全年帮助31户企业无还本续贷6114.33万元，</w:t>
      </w: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连续两年成为政府应急资金池资金使用量最高的金融机构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（三）苦练内功，转型升级更加系统深入</w:t>
      </w:r>
    </w:p>
    <w:p>
      <w:pPr>
        <w:spacing w:line="560" w:lineRule="exact"/>
        <w:ind w:firstLine="643" w:firstLineChars="200"/>
        <w:rPr>
          <w:rFonts w:ascii="仿宋_GB2312" w:hAnsi="仿宋" w:eastAsia="仿宋_GB2312"/>
          <w:color w:val="333333"/>
          <w:spacing w:val="5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一是强化科技支撑，</w:t>
      </w: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升级数仓建设，</w:t>
      </w:r>
      <w:r>
        <w:rPr>
          <w:rFonts w:hint="eastAsia" w:ascii="仿宋_GB2312" w:hAnsi="仿宋" w:eastAsia="仿宋_GB2312"/>
          <w:sz w:val="32"/>
          <w:szCs w:val="32"/>
        </w:rPr>
        <w:t>解决数据孤岛问题，逐步实现全局信息数据共享</w:t>
      </w: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，夯实</w:t>
      </w:r>
      <w:r>
        <w:rPr>
          <w:rFonts w:hint="eastAsia" w:ascii="仿宋_GB2312" w:hAnsi="仿宋" w:eastAsia="仿宋_GB2312"/>
          <w:sz w:val="32"/>
          <w:szCs w:val="32"/>
        </w:rPr>
        <w:t>数据治理</w:t>
      </w: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制定内部金融数据标准，实现了系统间数据的统一标准交互，规范了数据采集、传输的要求和规则。</w:t>
      </w:r>
      <w:r>
        <w:rPr>
          <w:rFonts w:hint="eastAsia" w:ascii="仿宋_GB2312" w:hAnsi="仿宋" w:eastAsia="仿宋_GB2312"/>
          <w:b/>
          <w:sz w:val="32"/>
          <w:szCs w:val="32"/>
        </w:rPr>
        <w:t>二是启动数字转型，</w:t>
      </w:r>
      <w:r>
        <w:rPr>
          <w:rFonts w:hint="eastAsia" w:ascii="仿宋_GB2312" w:hAnsi="仿宋" w:eastAsia="仿宋_GB2312"/>
          <w:sz w:val="32"/>
          <w:szCs w:val="32"/>
        </w:rPr>
        <w:t>着力搭建场景，拓宽流量入口，逐步把金融服务嵌入居民、客户的生产与生活环境中，用数据画像，推进以客户为中心的交叉营销，实现流量裂变。</w:t>
      </w:r>
      <w:r>
        <w:rPr>
          <w:rFonts w:hint="eastAsia" w:ascii="仿宋_GB2312" w:hAnsi="仿宋" w:eastAsia="仿宋_GB2312"/>
          <w:b/>
          <w:sz w:val="32"/>
          <w:szCs w:val="32"/>
        </w:rPr>
        <w:t>三是拓展网络金融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大力推广社保卡，发卡量占扬州市本级发行量的65%以上；</w:t>
      </w:r>
      <w:r>
        <w:rPr>
          <w:rFonts w:hint="eastAsia" w:ascii="仿宋_GB2312" w:eastAsia="仿宋_GB2312"/>
          <w:sz w:val="32"/>
          <w:szCs w:val="32"/>
        </w:rPr>
        <w:t>上线“一当”平台，</w:t>
      </w:r>
      <w:r>
        <w:rPr>
          <w:rFonts w:hint="eastAsia" w:ascii="仿宋_GB2312" w:hAnsi="仿宋" w:eastAsia="仿宋_GB2312"/>
          <w:sz w:val="32"/>
          <w:szCs w:val="32"/>
        </w:rPr>
        <w:t>围绕平台商户开发全流程、全生命周期资产负债产品，</w:t>
      </w: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构建</w:t>
      </w:r>
      <w:r>
        <w:rPr>
          <w:rFonts w:hint="eastAsia" w:ascii="仿宋_GB2312" w:eastAsia="仿宋_GB2312"/>
          <w:sz w:val="32"/>
          <w:szCs w:val="32"/>
        </w:rPr>
        <w:t>金融生态圈，</w:t>
      </w:r>
      <w:r>
        <w:rPr>
          <w:rFonts w:hint="eastAsia" w:ascii="仿宋_GB2312" w:hAnsi="仿宋" w:eastAsia="仿宋_GB2312"/>
          <w:sz w:val="32"/>
          <w:szCs w:val="32"/>
        </w:rPr>
        <w:t>平台上线以来，共拓展商户22218户，日交易笔数4万余笔。</w:t>
      </w:r>
      <w:r>
        <w:rPr>
          <w:rFonts w:hint="eastAsia" w:ascii="仿宋_GB2312" w:hAnsi="仿宋" w:eastAsia="仿宋_GB2312"/>
          <w:b/>
          <w:sz w:val="32"/>
          <w:szCs w:val="32"/>
        </w:rPr>
        <w:t>四是注重敏捷响应，</w:t>
      </w:r>
      <w:r>
        <w:rPr>
          <w:rFonts w:hint="eastAsia" w:ascii="仿宋_GB2312" w:eastAsia="仿宋_GB2312"/>
          <w:sz w:val="32"/>
          <w:szCs w:val="32"/>
        </w:rPr>
        <w:t>加强信贷全流程系统建设，通过获客线上化、验证前置化，引入外部数据和风险决策引擎，逐步向人工智能、系统自动出数转变；开展标准化流程再造，提高授信审批效率，在途贷款的周转天数由9.2天缩短至不到3天。</w:t>
      </w:r>
      <w:r>
        <w:rPr>
          <w:rFonts w:hint="eastAsia" w:ascii="仿宋_GB2312" w:eastAsia="仿宋_GB2312"/>
          <w:b/>
          <w:sz w:val="32"/>
          <w:szCs w:val="32"/>
        </w:rPr>
        <w:t>五是塑造视觉形象</w:t>
      </w:r>
      <w:r>
        <w:rPr>
          <w:rFonts w:hint="eastAsia" w:ascii="仿宋_GB2312" w:eastAsia="仿宋_GB2312"/>
          <w:sz w:val="32"/>
          <w:szCs w:val="32"/>
        </w:rPr>
        <w:t>，借助财经名记嘉年华活动发布全新logo，</w:t>
      </w: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融入扬州文化元素设计运用全新视觉规范和空间标准，打造服务体验、功能布局区域领先的营业网点，促进整体形象的显著提升。</w:t>
      </w:r>
    </w:p>
    <w:p>
      <w:pPr>
        <w:spacing w:line="560" w:lineRule="exact"/>
        <w:ind w:firstLine="66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hAnsi="仿宋" w:eastAsia="楷体_GB2312"/>
          <w:color w:val="333333"/>
          <w:spacing w:val="5"/>
          <w:sz w:val="32"/>
          <w:szCs w:val="32"/>
        </w:rPr>
        <w:t>（四）深耕本土，金融服务更加优质高效</w:t>
      </w:r>
    </w:p>
    <w:p>
      <w:pPr>
        <w:spacing w:line="560" w:lineRule="exact"/>
        <w:ind w:firstLine="643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一是加大走访力度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开展百行进万企、“321”</w:t>
      </w:r>
      <w:r>
        <w:rPr>
          <w:rFonts w:ascii="Times New Roman" w:hAnsi="仿宋_GB2312" w:eastAsia="仿宋_GB2312" w:cs="Times New Roman"/>
          <w:sz w:val="32"/>
          <w:szCs w:val="32"/>
        </w:rPr>
        <w:t>百名行长服务行</w:t>
      </w:r>
      <w:r>
        <w:rPr>
          <w:rFonts w:ascii="Times New Roman" w:hAnsi="Times New Roman" w:eastAsia="仿宋_GB2312" w:cs="Times New Roman"/>
          <w:sz w:val="32"/>
          <w:szCs w:val="32"/>
        </w:rPr>
        <w:t>等活动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全面对接扬州市8大产业集群12大工业园区，全年累计走访企业4874户，新投放贷款127户、3.47亿元</w:t>
      </w:r>
      <w:r>
        <w:rPr>
          <w:rFonts w:hint="eastAsia" w:ascii="仿宋_GB2312" w:hAnsi="宋体" w:eastAsia="仿宋_GB2312"/>
          <w:sz w:val="32"/>
          <w:szCs w:val="32"/>
        </w:rPr>
        <w:t>。</w:t>
      </w:r>
      <w:r>
        <w:rPr>
          <w:rFonts w:hint="eastAsia" w:ascii="仿宋_GB2312" w:hAnsi="宋体" w:eastAsia="仿宋_GB2312"/>
          <w:b/>
          <w:sz w:val="32"/>
          <w:szCs w:val="32"/>
        </w:rPr>
        <w:t>二是加强银企互动，</w:t>
      </w:r>
      <w:r>
        <w:rPr>
          <w:rFonts w:hint="eastAsia" w:ascii="仿宋_GB2312" w:hAnsi="宋体" w:eastAsia="仿宋_GB2312"/>
          <w:sz w:val="32"/>
          <w:szCs w:val="32"/>
        </w:rPr>
        <w:t>推行</w:t>
      </w:r>
      <w:r>
        <w:rPr>
          <w:rFonts w:hint="eastAsia" w:ascii="仿宋_GB2312" w:hAnsi="Helvetica" w:eastAsia="仿宋_GB2312" w:cs="Helvetica"/>
          <w:color w:val="000000"/>
          <w:sz w:val="32"/>
          <w:szCs w:val="32"/>
        </w:rPr>
        <w:t>“行长+会长”的营销模式，全年与39家商会（协会）进行了对接，参与了65场次的各类商会活动，累计获得400多家有价值的企业信息，新增贷款投放1.78亿元</w:t>
      </w:r>
      <w:r>
        <w:rPr>
          <w:rFonts w:hint="eastAsia" w:ascii="仿宋_GB2312" w:hAnsi="宋体" w:eastAsia="仿宋_GB2312"/>
          <w:sz w:val="32"/>
          <w:szCs w:val="32"/>
        </w:rPr>
        <w:t>。</w:t>
      </w:r>
      <w:r>
        <w:rPr>
          <w:rFonts w:hint="eastAsia" w:ascii="仿宋_GB2312" w:hAnsi="宋体" w:eastAsia="仿宋_GB2312"/>
          <w:b/>
          <w:sz w:val="32"/>
          <w:szCs w:val="32"/>
        </w:rPr>
        <w:t>三是加快厅堂转型，</w:t>
      </w:r>
      <w:r>
        <w:rPr>
          <w:rFonts w:hint="eastAsia" w:ascii="仿宋_GB2312" w:hAnsi="仿宋" w:eastAsia="仿宋_GB2312"/>
          <w:sz w:val="32"/>
          <w:szCs w:val="32"/>
        </w:rPr>
        <w:t>着力将厅堂人员、职能和服务流程整合重塑，增设厅堂主管和副理，拉近与客户的距离、提高客户体验度，</w:t>
      </w:r>
      <w:r>
        <w:rPr>
          <w:rFonts w:hint="eastAsia" w:ascii="仿宋_GB2312" w:eastAsia="仿宋_GB2312"/>
          <w:sz w:val="32"/>
          <w:szCs w:val="32"/>
        </w:rPr>
        <w:t>实行弹性柜员，</w:t>
      </w:r>
      <w:r>
        <w:rPr>
          <w:rFonts w:hint="eastAsia" w:ascii="仿宋_GB2312" w:hAnsi="黑体" w:eastAsia="仿宋_GB2312"/>
          <w:sz w:val="32"/>
          <w:szCs w:val="32"/>
        </w:rPr>
        <w:t>大力</w:t>
      </w:r>
      <w:r>
        <w:rPr>
          <w:rFonts w:hint="eastAsia" w:ascii="仿宋_GB2312" w:hAnsi="仿宋" w:eastAsia="仿宋_GB2312"/>
          <w:sz w:val="32"/>
          <w:szCs w:val="32"/>
        </w:rPr>
        <w:t>推广STM智能机具的运用，通过机器换人置换柜面人员50余名，有效补充外拓和厅堂营销力量。</w:t>
      </w:r>
    </w:p>
    <w:p>
      <w:pPr>
        <w:spacing w:line="560" w:lineRule="exact"/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（五）筑牢底线，风控案防更加全面到位</w:t>
      </w:r>
    </w:p>
    <w:p>
      <w:pPr>
        <w:spacing w:line="560" w:lineRule="exact"/>
        <w:ind w:firstLine="643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一是加强资产质量管控。</w:t>
      </w:r>
      <w:r>
        <w:rPr>
          <w:rFonts w:hint="eastAsia" w:ascii="仿宋_GB2312" w:eastAsia="仿宋_GB2312"/>
          <w:sz w:val="32"/>
          <w:szCs w:val="32"/>
        </w:rPr>
        <w:t>发挥资产保全部集中经营特点，将业务派单制和末位淘汰制相结合，全年共现金清收不良贷款1.82亿元，不良贷款率较年初下降0.16个百分点。</w:t>
      </w:r>
      <w:r>
        <w:rPr>
          <w:rFonts w:hint="eastAsia" w:ascii="仿宋_GB2312" w:eastAsia="仿宋_GB2312"/>
          <w:b/>
          <w:sz w:val="32"/>
          <w:szCs w:val="32"/>
        </w:rPr>
        <w:t>二是确立风险偏好限额。</w:t>
      </w:r>
      <w:r>
        <w:rPr>
          <w:rFonts w:hint="eastAsia" w:ascii="仿宋_GB2312" w:eastAsia="仿宋_GB2312"/>
          <w:sz w:val="32"/>
          <w:szCs w:val="32"/>
        </w:rPr>
        <w:t>按全面风险管理要求设置各类风险偏好32项和风险限额指标83项，逐步实现风险管理制约、预警、监察和控制等功能，形成有效的限额管理体系。</w:t>
      </w:r>
      <w:r>
        <w:rPr>
          <w:rFonts w:hint="eastAsia" w:ascii="仿宋_GB2312" w:eastAsia="仿宋_GB2312"/>
          <w:b/>
          <w:sz w:val="32"/>
          <w:szCs w:val="32"/>
        </w:rPr>
        <w:t>三是扎实推进“三大”行动。</w:t>
      </w:r>
      <w:r>
        <w:rPr>
          <w:rFonts w:ascii="Times New Roman" w:hAnsi="Times New Roman" w:eastAsia="仿宋_GB2312" w:cs="Times New Roman"/>
          <w:sz w:val="32"/>
          <w:szCs w:val="32"/>
        </w:rPr>
        <w:t>现场检查和非现场检查同步进行</w:t>
      </w:r>
      <w:r>
        <w:rPr>
          <w:rFonts w:hint="eastAsia" w:ascii="仿宋_GB2312" w:eastAsia="仿宋_GB2312"/>
          <w:sz w:val="32"/>
          <w:szCs w:val="32"/>
        </w:rPr>
        <w:t>，检查覆盖面达100%，借助数据分析、资金监测系统、审计系统的相关数据为排查提供方向，对信贷资产中分类不准确的资产及时组织整改。</w:t>
      </w:r>
      <w:r>
        <w:rPr>
          <w:rFonts w:hint="eastAsia" w:ascii="仿宋_GB2312" w:eastAsia="仿宋_GB2312"/>
          <w:b/>
          <w:sz w:val="32"/>
          <w:szCs w:val="32"/>
        </w:rPr>
        <w:t>四是建设风险控制平台。</w:t>
      </w:r>
      <w:r>
        <w:rPr>
          <w:rFonts w:hint="eastAsia" w:ascii="仿宋_GB2312" w:hAnsi="仿宋_GB2312" w:eastAsia="仿宋_GB2312" w:cs="仿宋_GB2312"/>
          <w:sz w:val="32"/>
          <w:szCs w:val="32"/>
        </w:rPr>
        <w:t>上线合规风险管理系统（FCM），划分内控、合规、案防、操作风险四大重点领域，运用187个模型按T+1进行预警，全年核查风险线索15条，发现风险违规事件6起，并及时发出合规风险提示。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五是压实案件防控责任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ascii="Times New Roman" w:hAnsi="仿宋_GB2312" w:eastAsia="仿宋_GB2312" w:cs="Times New Roman"/>
          <w:sz w:val="32"/>
          <w:szCs w:val="32"/>
        </w:rPr>
        <w:t>将整治市场乱象、内外部检查整改问责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ascii="Times New Roman" w:hAnsi="仿宋_GB2312" w:eastAsia="仿宋_GB2312" w:cs="Times New Roman"/>
          <w:sz w:val="32"/>
          <w:szCs w:val="32"/>
        </w:rPr>
        <w:t>回头看</w:t>
      </w:r>
      <w:r>
        <w:rPr>
          <w:rFonts w:ascii="Times New Roman" w:hAnsi="Times New Roman" w:eastAsia="仿宋_GB2312" w:cs="Times New Roman"/>
          <w:sz w:val="32"/>
          <w:szCs w:val="32"/>
        </w:rPr>
        <w:t>”</w:t>
      </w:r>
      <w:r>
        <w:rPr>
          <w:rFonts w:ascii="Times New Roman" w:hAnsi="仿宋_GB2312" w:eastAsia="仿宋_GB2312" w:cs="Times New Roman"/>
          <w:sz w:val="32"/>
          <w:szCs w:val="32"/>
        </w:rPr>
        <w:t>与案件风险排查工作有机结合，对前期乱象问题的整改问责情况逐一过堂</w:t>
      </w:r>
      <w:r>
        <w:rPr>
          <w:rFonts w:hint="eastAsia" w:ascii="Times New Roman" w:hAnsi="仿宋_GB2312" w:eastAsia="仿宋_GB2312" w:cs="Times New Roman"/>
          <w:sz w:val="32"/>
          <w:szCs w:val="32"/>
        </w:rPr>
        <w:t>；</w:t>
      </w:r>
      <w:r>
        <w:rPr>
          <w:rFonts w:ascii="Times New Roman" w:hAnsi="仿宋_GB2312" w:eastAsia="仿宋_GB2312" w:cs="Times New Roman"/>
          <w:sz w:val="32"/>
          <w:szCs w:val="32"/>
        </w:rPr>
        <w:t>狠抓员工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ascii="Times New Roman" w:hAnsi="仿宋_GB2312" w:eastAsia="仿宋_GB2312" w:cs="Times New Roman"/>
          <w:sz w:val="32"/>
          <w:szCs w:val="32"/>
        </w:rPr>
        <w:t>十种人</w:t>
      </w:r>
      <w:r>
        <w:rPr>
          <w:rFonts w:ascii="Times New Roman" w:hAnsi="Times New Roman" w:eastAsia="仿宋_GB2312" w:cs="Times New Roman"/>
          <w:sz w:val="32"/>
          <w:szCs w:val="32"/>
        </w:rPr>
        <w:t>”</w:t>
      </w:r>
      <w:r>
        <w:rPr>
          <w:rFonts w:ascii="Times New Roman" w:hAnsi="仿宋_GB2312" w:eastAsia="仿宋_GB2312" w:cs="Times New Roman"/>
          <w:sz w:val="32"/>
          <w:szCs w:val="32"/>
        </w:rPr>
        <w:t>排查，</w:t>
      </w:r>
      <w:r>
        <w:rPr>
          <w:rFonts w:hint="eastAsia" w:ascii="Times New Roman" w:hAnsi="仿宋_GB2312" w:eastAsia="仿宋_GB2312" w:cs="Times New Roman"/>
          <w:sz w:val="32"/>
          <w:szCs w:val="32"/>
        </w:rPr>
        <w:t>对</w:t>
      </w:r>
      <w:r>
        <w:rPr>
          <w:rFonts w:ascii="Times New Roman" w:hAnsi="仿宋_GB2312" w:eastAsia="仿宋_GB2312" w:cs="Times New Roman"/>
          <w:sz w:val="32"/>
          <w:szCs w:val="32"/>
        </w:rPr>
        <w:t>具有苗头性问题的员工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进行</w:t>
      </w:r>
      <w:r>
        <w:rPr>
          <w:rFonts w:ascii="Times New Roman" w:hAnsi="Times New Roman" w:eastAsia="仿宋_GB2312" w:cs="Times New Roman"/>
          <w:sz w:val="32"/>
          <w:szCs w:val="32"/>
        </w:rPr>
        <w:t>约谈</w:t>
      </w:r>
      <w:r>
        <w:rPr>
          <w:rFonts w:ascii="Times New Roman" w:hAnsi="仿宋_GB2312" w:eastAsia="仿宋_GB2312" w:cs="Times New Roman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（六）严管厚爱，队伍建设更加扎实有力</w:t>
      </w:r>
    </w:p>
    <w:p>
      <w:pPr>
        <w:spacing w:line="560" w:lineRule="exact"/>
        <w:ind w:firstLine="663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/>
          <w:b/>
          <w:color w:val="333333"/>
          <w:spacing w:val="5"/>
          <w:sz w:val="32"/>
          <w:szCs w:val="32"/>
        </w:rPr>
        <w:t>一是严格选人用人程序，</w:t>
      </w: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公开招聘</w:t>
      </w:r>
      <w:r>
        <w:rPr>
          <w:rFonts w:hint="eastAsia" w:ascii="仿宋_GB2312" w:eastAsia="仿宋_GB2312" w:cs="仿宋_GB2312"/>
          <w:sz w:val="32"/>
          <w:szCs w:val="32"/>
        </w:rPr>
        <w:t>录</w:t>
      </w: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用科技软件、网络金融等专业人才5名；拓宽员工晋升渠道，经条线推荐、组织考察等程序提拔了2名高级主管；注重培养年轻干部，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提拔任用优秀年轻干部6人；严格执行末位淘汰，根据经营目标管理考核办法，对排名靠后的3名支行行长、1名公司业务部负责人降职处理，在全行形成了重实干重实绩的用人导向。</w:t>
      </w: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</w:rPr>
        <w:t>二是推进队伍转换理念，</w:t>
      </w: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打造“学习型”企业，大力倡导对标学习，促进思想解放、理念转换，调动干部员工工作积极性、能动性，全年共组织15批200多人次赴浙江农信等先进行学习，特别是</w:t>
      </w:r>
      <w:r>
        <w:rPr>
          <w:rFonts w:hint="eastAsia" w:ascii="仿宋_GB2312" w:eastAsia="仿宋_GB2312" w:cs="仿宋_GB2312"/>
          <w:sz w:val="32"/>
          <w:szCs w:val="32"/>
        </w:rPr>
        <w:t>组织由行长室成员、中层干部50人组成的团队赴乐清农商行深度学习“小而美”战略，取得了良好效果。</w:t>
      </w:r>
      <w:r>
        <w:rPr>
          <w:rFonts w:hint="eastAsia" w:ascii="仿宋_GB2312" w:eastAsia="仿宋_GB2312" w:cs="仿宋_GB2312"/>
          <w:b/>
          <w:sz w:val="32"/>
          <w:szCs w:val="32"/>
        </w:rPr>
        <w:t>三是</w:t>
      </w:r>
      <w:r>
        <w:rPr>
          <w:rFonts w:hint="eastAsia" w:ascii="仿宋_GB2312" w:hAnsi="仿宋" w:eastAsia="仿宋_GB2312"/>
          <w:b/>
          <w:color w:val="333333"/>
          <w:spacing w:val="5"/>
          <w:sz w:val="32"/>
          <w:szCs w:val="32"/>
        </w:rPr>
        <w:t>提升队伍综合素质，</w:t>
      </w: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建立健全培训长效机制，鼓励全员参与学历教育和职称考试，</w:t>
      </w:r>
      <w:r>
        <w:rPr>
          <w:rFonts w:hint="eastAsia" w:ascii="仿宋_GB2312" w:eastAsia="仿宋_GB2312" w:cs="仿宋_GB2312"/>
          <w:sz w:val="32"/>
          <w:szCs w:val="32"/>
        </w:rPr>
        <w:t>全年共组织各类培训95期、11241人次，视频课堂28期、15252人次，有136人次取得银行从业资格证书，39人取得各类职称。</w:t>
      </w:r>
    </w:p>
    <w:p>
      <w:pPr>
        <w:spacing w:line="560" w:lineRule="exact"/>
        <w:ind w:firstLine="660" w:firstLineChars="200"/>
        <w:rPr>
          <w:rFonts w:ascii="仿宋_GB2312" w:hAnsi="仿宋" w:eastAsia="仿宋_GB2312"/>
          <w:color w:val="333333"/>
          <w:spacing w:val="5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回顾2019年，在肯定成绩的同时，董事会工作还存在一些问题和不足。</w:t>
      </w:r>
      <w:r>
        <w:rPr>
          <w:rFonts w:hint="eastAsia" w:ascii="仿宋_GB2312" w:hAnsi="仿宋" w:eastAsia="仿宋_GB2312"/>
          <w:b/>
          <w:color w:val="333333"/>
          <w:spacing w:val="5"/>
          <w:sz w:val="32"/>
          <w:szCs w:val="32"/>
        </w:rPr>
        <w:t>一是</w:t>
      </w: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董事会、监事会人员结构对照良好公司治理标准还有差距；</w:t>
      </w:r>
      <w:r>
        <w:rPr>
          <w:rFonts w:hint="eastAsia" w:ascii="仿宋_GB2312" w:hAnsi="仿宋" w:eastAsia="仿宋_GB2312"/>
          <w:b/>
          <w:color w:val="333333"/>
          <w:spacing w:val="5"/>
          <w:sz w:val="32"/>
          <w:szCs w:val="32"/>
        </w:rPr>
        <w:t>二是</w:t>
      </w:r>
      <w:r>
        <w:rPr>
          <w:rFonts w:hint="eastAsia" w:ascii="仿宋_GB2312" w:eastAsia="仿宋_GB2312"/>
          <w:sz w:val="32"/>
          <w:szCs w:val="32"/>
        </w:rPr>
        <w:t>战略目标和实际经营计划结合不够紧密，考核评价机制不够完善；</w:t>
      </w:r>
      <w:r>
        <w:rPr>
          <w:rFonts w:hint="eastAsia" w:ascii="仿宋_GB2312" w:eastAsia="仿宋_GB2312"/>
          <w:b/>
          <w:sz w:val="32"/>
          <w:szCs w:val="32"/>
        </w:rPr>
        <w:t>三是</w:t>
      </w: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专门委员会职能发挥尚有提升空间；</w:t>
      </w:r>
      <w:r>
        <w:rPr>
          <w:rFonts w:hint="eastAsia" w:ascii="仿宋_GB2312" w:hAnsi="仿宋" w:eastAsia="仿宋_GB2312"/>
          <w:b/>
          <w:color w:val="333333"/>
          <w:spacing w:val="5"/>
          <w:sz w:val="32"/>
          <w:szCs w:val="32"/>
        </w:rPr>
        <w:t>四是</w:t>
      </w:r>
      <w:r>
        <w:rPr>
          <w:rFonts w:hint="eastAsia" w:ascii="仿宋_GB2312" w:eastAsia="仿宋_GB2312"/>
          <w:sz w:val="32"/>
          <w:szCs w:val="32"/>
        </w:rPr>
        <w:t>关联方的穿透认定能力不足，关联信息的全面性、完整性不够</w:t>
      </w: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；</w:t>
      </w:r>
      <w:r>
        <w:rPr>
          <w:rFonts w:hint="eastAsia" w:ascii="仿宋_GB2312" w:hAnsi="仿宋" w:eastAsia="仿宋_GB2312"/>
          <w:b/>
          <w:color w:val="333333"/>
          <w:spacing w:val="5"/>
          <w:sz w:val="32"/>
          <w:szCs w:val="32"/>
        </w:rPr>
        <w:t>五是</w:t>
      </w:r>
      <w:r>
        <w:rPr>
          <w:rFonts w:hint="eastAsia" w:ascii="仿宋_GB2312" w:eastAsia="仿宋_GB2312"/>
          <w:sz w:val="32"/>
          <w:szCs w:val="32"/>
        </w:rPr>
        <w:t>信贷客群总量偏少，短期财务压力较大</w:t>
      </w: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；</w:t>
      </w:r>
      <w:r>
        <w:rPr>
          <w:rFonts w:hint="eastAsia" w:ascii="仿宋_GB2312" w:hAnsi="仿宋" w:eastAsia="仿宋_GB2312"/>
          <w:b/>
          <w:color w:val="333333"/>
          <w:spacing w:val="5"/>
          <w:sz w:val="32"/>
          <w:szCs w:val="32"/>
        </w:rPr>
        <w:t>六是</w:t>
      </w:r>
      <w:r>
        <w:rPr>
          <w:rFonts w:hint="eastAsia" w:ascii="仿宋_GB2312" w:hAnsi="仿宋" w:eastAsia="仿宋_GB2312"/>
          <w:color w:val="333333"/>
          <w:spacing w:val="5"/>
          <w:sz w:val="32"/>
          <w:szCs w:val="32"/>
        </w:rPr>
        <w:t>员工总体素质与转型发展的要求还有一定差距。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二、2020年重点工作安排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当前新冠肺炎在全球肆虐，扰动了国际经贸活动和全球产业链，叠加油价异动等因素，正在冲击全球金融市场，加大了经济下行风险，其中的不确定性和相关风险需要我们高度关注。“危”和“机”从来都是相伴而生，“黑天鹅”带来的不是单一的挑战和压力，也有机遇与动力，中国经济长期向好的趋势不会改变，此次疫情将促进新基建、大消费、大健康等重点领域发展。对于我们中小地方银行而言，</w:t>
      </w:r>
      <w:r>
        <w:rPr>
          <w:rFonts w:hint="eastAsia" w:ascii="仿宋_GB2312" w:eastAsia="仿宋_GB2312"/>
          <w:b/>
          <w:sz w:val="32"/>
          <w:szCs w:val="32"/>
        </w:rPr>
        <w:t>一要抢抓政策契机</w:t>
      </w:r>
      <w:r>
        <w:rPr>
          <w:rFonts w:hint="eastAsia" w:ascii="仿宋_GB2312" w:eastAsia="仿宋_GB2312"/>
          <w:sz w:val="32"/>
          <w:szCs w:val="32"/>
        </w:rPr>
        <w:t>，吃透政策精神，紧抓政策红利，加强客户拓展，调整业务结构，支持社会民生事业，助推地方经济发展。</w:t>
      </w:r>
      <w:r>
        <w:rPr>
          <w:rFonts w:hint="eastAsia" w:ascii="仿宋_GB2312" w:eastAsia="仿宋_GB2312"/>
          <w:b/>
          <w:sz w:val="32"/>
          <w:szCs w:val="32"/>
        </w:rPr>
        <w:t>二要看到长期机遇</w:t>
      </w:r>
      <w:r>
        <w:rPr>
          <w:rFonts w:hint="eastAsia" w:ascii="仿宋_GB2312" w:eastAsia="仿宋_GB2312"/>
          <w:sz w:val="32"/>
          <w:szCs w:val="32"/>
        </w:rPr>
        <w:t>，经过本次疫情，电子商务、远程办公、在线教育、视频直播等新业态和新模式有望呈现加速发展态势，要认真研判形势，找准切入点，抓住业务机遇，抢先布局新业态。</w:t>
      </w:r>
      <w:r>
        <w:rPr>
          <w:rFonts w:hint="eastAsia" w:ascii="仿宋_GB2312" w:eastAsia="仿宋_GB2312"/>
          <w:b/>
          <w:sz w:val="32"/>
          <w:szCs w:val="32"/>
        </w:rPr>
        <w:t>三要创新服务方式</w:t>
      </w:r>
      <w:r>
        <w:rPr>
          <w:rFonts w:hint="eastAsia" w:ascii="仿宋_GB2312" w:eastAsia="仿宋_GB2312"/>
          <w:sz w:val="32"/>
          <w:szCs w:val="32"/>
        </w:rPr>
        <w:t>，综合运用线上和线下手段，创新产品、渠道，充分发挥地缘优势、信息优势、效率优势，依托金融科技，坚定不移实施数字化转型，避开风险集聚区，壮大优质客户群，在危中寻机，牢牢把握住战略制高点，奠定可持续发展的良好基础。</w:t>
      </w:r>
    </w:p>
    <w:p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2020年总体工作思路是</w:t>
      </w:r>
      <w:r>
        <w:rPr>
          <w:rFonts w:hint="eastAsia" w:ascii="仿宋_GB2312" w:eastAsia="仿宋_GB2312"/>
          <w:sz w:val="32"/>
          <w:szCs w:val="32"/>
        </w:rPr>
        <w:t>：全面贯彻党的十九大和中央经济工作会议精神，坚持稳中求进工作总基调，坚持新发展理念，以战略落地为切入点，以竞争力提升为落脚点，以数字化转型为着力点，持续深化改革、激发活力，不断完善机制、敏捷反应，强化科技赋能、优化体验，发挥线下优势、扬长避短，奋力开创区域最具服务力银行建设的新局面。</w:t>
      </w:r>
    </w:p>
    <w:p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2020年主要经营管理目标是：</w:t>
      </w:r>
      <w:bookmarkStart w:id="0" w:name="BM8560_1515822530443"/>
      <w:bookmarkEnd w:id="0"/>
      <w:r>
        <w:rPr>
          <w:rFonts w:hint="eastAsia" w:ascii="仿宋_GB2312" w:eastAsia="仿宋_GB2312"/>
          <w:sz w:val="32"/>
          <w:szCs w:val="32"/>
        </w:rPr>
        <w:t>各项存款余额净增24亿元；各项贷款余额净增20亿元，零售贷款户数净增5000户；五级分类不良贷款占比不高于2%；</w:t>
      </w:r>
      <w:bookmarkStart w:id="1" w:name="BM2980_1515822530463"/>
      <w:bookmarkEnd w:id="1"/>
      <w:bookmarkStart w:id="2" w:name="BM4480_1515822530473"/>
      <w:bookmarkEnd w:id="2"/>
      <w:r>
        <w:rPr>
          <w:rFonts w:hint="eastAsia" w:ascii="仿宋_GB2312" w:hAnsi="Calibri" w:eastAsia="仿宋_GB2312" w:cs="Times New Roman"/>
          <w:bCs/>
          <w:sz w:val="32"/>
          <w:szCs w:val="32"/>
        </w:rPr>
        <w:t>手机银行净增10万户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hAnsi="Calibri" w:eastAsia="仿宋_GB2312" w:cs="Times New Roman"/>
          <w:bCs/>
          <w:sz w:val="32"/>
          <w:szCs w:val="32"/>
        </w:rPr>
        <w:t>收单商户净增8000户</w:t>
      </w:r>
      <w:r>
        <w:rPr>
          <w:rFonts w:hint="eastAsia" w:ascii="仿宋_GB2312" w:eastAsia="仿宋_GB2312"/>
          <w:sz w:val="32"/>
          <w:szCs w:val="32"/>
        </w:rPr>
        <w:t>；实现利润3亿元；内控管理实现安全经营无事故、无案件；年度监管评级力争达2级，省联社条线考核前30名的部门总数比上年增加。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根据上</w:t>
      </w:r>
      <w:r>
        <w:rPr>
          <w:rFonts w:hint="eastAsia" w:ascii="仿宋_GB2312" w:hAnsi="Calibri" w:eastAsia="仿宋_GB2312" w:cs="Times New Roman"/>
          <w:bCs/>
          <w:sz w:val="32"/>
          <w:szCs w:val="32"/>
        </w:rPr>
        <w:t>述目标，董事会将围绕四项转型，促进四大提升，积极用新观念、新思维、新技术深化服务创新、发掘市场潜力、提高竞争能力，努力开创高质量发展新局面。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（一）围绕战略落地，坚持改革转型，提升战略执行力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以26个重点项目为发力点，落实五大保障，确保全行沿战略规划路线持续稳健发展。</w:t>
      </w:r>
      <w:r>
        <w:rPr>
          <w:rFonts w:hint="eastAsia" w:ascii="仿宋_GB2312" w:eastAsia="仿宋_GB2312"/>
          <w:b/>
          <w:sz w:val="32"/>
          <w:szCs w:val="32"/>
        </w:rPr>
        <w:t>一是落实组织架构保障</w:t>
      </w:r>
      <w:r>
        <w:rPr>
          <w:rFonts w:hint="eastAsia" w:ascii="仿宋_GB2312" w:eastAsia="仿宋_GB2312"/>
          <w:sz w:val="32"/>
          <w:szCs w:val="32"/>
        </w:rPr>
        <w:t>，进一步明确各部门、分支机构在战略执行过程中的具体职责，定期对全行战略执行情况进行回顾、分析；成立董事会办公室牵头、跨部门的战略管理协调小组，全面负责沟通宣传、流程梳理、制度建设等工作。</w:t>
      </w:r>
      <w:r>
        <w:rPr>
          <w:rFonts w:hint="eastAsia" w:ascii="仿宋_GB2312" w:eastAsia="仿宋_GB2312"/>
          <w:b/>
          <w:sz w:val="32"/>
          <w:szCs w:val="32"/>
        </w:rPr>
        <w:t>二是落实绩效管理保障</w:t>
      </w:r>
      <w:r>
        <w:rPr>
          <w:rFonts w:hint="eastAsia" w:ascii="仿宋_GB2312" w:eastAsia="仿宋_GB2312"/>
          <w:sz w:val="32"/>
          <w:szCs w:val="32"/>
        </w:rPr>
        <w:t>，结合实际建立战略绩效考核体系，充分考虑战略执行过程中的组织协同效用，挖掘实现战略的关键性驱动因素，设定合理的指标权重与目标值，循序渐进、自上而下分层分级实施。</w:t>
      </w:r>
      <w:r>
        <w:rPr>
          <w:rFonts w:hint="eastAsia" w:ascii="仿宋_GB2312" w:eastAsia="仿宋_GB2312"/>
          <w:b/>
          <w:sz w:val="32"/>
          <w:szCs w:val="32"/>
        </w:rPr>
        <w:t>三是落实人力资源保障</w:t>
      </w:r>
      <w:r>
        <w:rPr>
          <w:rFonts w:hint="eastAsia" w:ascii="仿宋_GB2312" w:eastAsia="仿宋_GB2312"/>
          <w:sz w:val="32"/>
          <w:szCs w:val="32"/>
        </w:rPr>
        <w:t>，建立战略执行联络人制度，确保战略管理过程中的各种问题能得到及时重视和解决，保持相关岗位工作人员的稳定性，不断积累经验和维持工作的持续性。</w:t>
      </w:r>
      <w:r>
        <w:rPr>
          <w:rFonts w:hint="eastAsia" w:ascii="仿宋_GB2312" w:eastAsia="仿宋_GB2312"/>
          <w:b/>
          <w:sz w:val="32"/>
          <w:szCs w:val="32"/>
        </w:rPr>
        <w:t>四是落实信息技术保障</w:t>
      </w:r>
      <w:r>
        <w:rPr>
          <w:rFonts w:hint="eastAsia" w:ascii="仿宋_GB2312" w:eastAsia="仿宋_GB2312"/>
          <w:sz w:val="32"/>
          <w:szCs w:val="32"/>
        </w:rPr>
        <w:t>，深化数据治理和数仓建设，保证战略管理数据质量基础，探索开发战略管理信息系统，通过引入战略决策支持、计划管理、分析评估等模块，实现对战略管理相关数据的自动收集、计算和汇总。</w:t>
      </w:r>
      <w:r>
        <w:rPr>
          <w:rFonts w:hint="eastAsia" w:ascii="仿宋_GB2312" w:eastAsia="仿宋_GB2312"/>
          <w:b/>
          <w:sz w:val="32"/>
          <w:szCs w:val="32"/>
        </w:rPr>
        <w:t>五是落实企业文化保障</w:t>
      </w:r>
      <w:r>
        <w:rPr>
          <w:rFonts w:hint="eastAsia" w:ascii="仿宋_GB2312" w:eastAsia="仿宋_GB2312"/>
          <w:sz w:val="32"/>
          <w:szCs w:val="32"/>
        </w:rPr>
        <w:t>，丰富宣传宣导渠道，整合互动平台资源，通过企业文化的正向引导与激励作用，创造支持战略的文化环境，促进员工了解自身工作和全行战略目标之间的关系，树立使命感和方向感，充分调动全行推动战略执行的主观能动性。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（二）围绕量质并举，力推创新转型，提升核心竞争力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把握“小快灵”战略立意，以扩大基础客群为核心，以创新产品服务为动力，集聚优势、补齐短板，不断提升差异化、特色化竞争能力。</w:t>
      </w:r>
    </w:p>
    <w:p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坚守“小”的定位，在业务发展上寻求新跨越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b/>
          <w:sz w:val="32"/>
          <w:szCs w:val="32"/>
        </w:rPr>
        <w:t>转变思想观念，树立“资产先行”</w:t>
      </w:r>
      <w:r>
        <w:rPr>
          <w:rFonts w:hint="eastAsia" w:ascii="仿宋_GB2312" w:eastAsia="仿宋_GB2312"/>
          <w:sz w:val="32"/>
          <w:szCs w:val="32"/>
        </w:rPr>
        <w:t>。变“重负债”为“重资产”，将外拓营销作为工作主旋律，以支农支小“三年攻坚战”为切入口，紧扣建档、拓户、挖转等营销重心，集中精力下好资产“先行棋”，以出色的业绩赢得转型的主动。</w:t>
      </w:r>
      <w:r>
        <w:rPr>
          <w:rFonts w:hint="eastAsia" w:ascii="仿宋_GB2312" w:eastAsia="仿宋_GB2312"/>
          <w:b/>
          <w:sz w:val="32"/>
          <w:szCs w:val="32"/>
        </w:rPr>
        <w:t>认真研究市场，整合资源优势</w:t>
      </w:r>
      <w:r>
        <w:rPr>
          <w:rFonts w:hint="eastAsia" w:ascii="仿宋_GB2312" w:eastAsia="仿宋_GB2312"/>
          <w:sz w:val="32"/>
          <w:szCs w:val="32"/>
        </w:rPr>
        <w:t>。保持“农”字传统，点亮“城”字特色，挖掘“市”级内涵，突出广大市民、个体工商户、小微企业主的客户主体地位，满足农业产业化项目和新型农民的金融服务升级需求，发挥平台优势、资源优势、人缘地缘优势，紧密结合党委政府的工作规划和部署，力争成为支持地方经济发展的重要引擎。</w:t>
      </w:r>
      <w:r>
        <w:rPr>
          <w:rFonts w:hint="eastAsia" w:ascii="仿宋_GB2312" w:eastAsia="仿宋_GB2312"/>
          <w:b/>
          <w:sz w:val="32"/>
          <w:szCs w:val="32"/>
        </w:rPr>
        <w:t>聚焦增户扩面，破解发展瓶颈</w:t>
      </w:r>
      <w:r>
        <w:rPr>
          <w:rFonts w:hint="eastAsia" w:ascii="仿宋_GB2312" w:eastAsia="仿宋_GB2312"/>
          <w:sz w:val="32"/>
          <w:szCs w:val="32"/>
        </w:rPr>
        <w:t>。夯实客户拓展的基础，深入调研、收集和整理所辖区域各类信息，做到基础情况“一口清”；压实客户拓展的责任，深耕乡镇“阳光信贷”和城区网格化营销，强化商圈、商铺、商户的全方位渗透，全面触达优质客户群体；做实客户拓展的数据，通过高质量的建档数据筛选优质客户、锁定目标客户，确保序时完成“三年攻坚战”的信贷客户增长任务。</w:t>
      </w:r>
      <w:r>
        <w:rPr>
          <w:rFonts w:hint="eastAsia" w:ascii="仿宋_GB2312" w:eastAsia="仿宋_GB2312"/>
          <w:b/>
          <w:sz w:val="32"/>
          <w:szCs w:val="32"/>
        </w:rPr>
        <w:t>壮大营销队伍，打通营销梗阻</w:t>
      </w:r>
      <w:r>
        <w:rPr>
          <w:rFonts w:hint="eastAsia" w:ascii="仿宋_GB2312" w:eastAsia="仿宋_GB2312"/>
          <w:sz w:val="32"/>
          <w:szCs w:val="32"/>
        </w:rPr>
        <w:t>。融合支行行长、客户经理、弹性柜员，打造一支200人以上的专业化营销队伍，完善全员营销机制，尝试社会化营销模式，拓宽营销覆盖面；深挖各类“中国小店”式客户，有效发挥线下优势，提高客户拓展效率；注重培养一批“营销专家、产品专家”，精准发掘产品与客户需求的结合点，通过组合营销、交叉营销赋能客户，不断提高客户的粘合度、忠诚度。</w:t>
      </w:r>
    </w:p>
    <w:p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追求“快”的真谛，在敏捷响应上集聚新优势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b/>
          <w:sz w:val="32"/>
          <w:szCs w:val="32"/>
        </w:rPr>
        <w:t>信贷投放标准化、流程化、限时化</w:t>
      </w:r>
      <w:r>
        <w:rPr>
          <w:rFonts w:hint="eastAsia" w:ascii="仿宋_GB2312" w:eastAsia="仿宋_GB2312"/>
          <w:sz w:val="32"/>
          <w:szCs w:val="32"/>
        </w:rPr>
        <w:t>，围绕客户体验升级产品服务，明确办贷各个环节的工作时限，扩大目标客户市场的“白名单”范围，大力推进前台线上获客、后台系统自动集约化风控审批。</w:t>
      </w:r>
      <w:r>
        <w:rPr>
          <w:rFonts w:hint="eastAsia" w:ascii="仿宋_GB2312" w:eastAsia="仿宋_GB2312"/>
          <w:b/>
          <w:sz w:val="32"/>
          <w:szCs w:val="32"/>
        </w:rPr>
        <w:t>金融服务差异化、特色化、定制化，</w:t>
      </w:r>
      <w:r>
        <w:rPr>
          <w:rFonts w:hint="eastAsia" w:ascii="仿宋_GB2312" w:eastAsia="仿宋_GB2312"/>
          <w:sz w:val="32"/>
          <w:szCs w:val="32"/>
        </w:rPr>
        <w:t>着力发展数字化供应链金融业务，通过强化与客户的持续互动，归纳分析客户对不同产品的建议和对营销交互方案的反应，提炼出有效的定时、定频、定额的定制化产品套餐和营销模式。</w:t>
      </w:r>
      <w:r>
        <w:rPr>
          <w:rFonts w:hint="eastAsia" w:ascii="仿宋_GB2312" w:eastAsia="仿宋_GB2312"/>
          <w:b/>
          <w:sz w:val="32"/>
          <w:szCs w:val="32"/>
        </w:rPr>
        <w:t>产品流程组件化、自动化、精益化</w:t>
      </w:r>
      <w:r>
        <w:rPr>
          <w:rFonts w:hint="eastAsia" w:ascii="仿宋_GB2312" w:eastAsia="仿宋_GB2312"/>
          <w:sz w:val="32"/>
          <w:szCs w:val="32"/>
        </w:rPr>
        <w:t>，引入组件化设计思维创设金融产品元件，根据客户需求随插即用；逐步重塑端到端的客户旅程，将割裂的业务流程高效衔接；尝试按照开放银行模式将自身API嵌入各类流量平台，方便客户多渠道调用、无感使用，使客户的服务需求在第一时间、第一触点获得满足。</w:t>
      </w:r>
    </w:p>
    <w:p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深挖“灵”的内涵，在激发活力上构建新机制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b/>
          <w:sz w:val="32"/>
          <w:szCs w:val="32"/>
        </w:rPr>
        <w:t>建立灵活的市场营销机制</w:t>
      </w:r>
      <w:r>
        <w:rPr>
          <w:rFonts w:hint="eastAsia" w:ascii="仿宋_GB2312" w:eastAsia="仿宋_GB2312"/>
          <w:sz w:val="32"/>
          <w:szCs w:val="32"/>
        </w:rPr>
        <w:t>，将前台和一线建成信息收集层，作为营销体系的“排头兵”和“传感器”，及时捕捉和传递市场信息；将产品研发、信贷管理部门建成信息处理层，作为营销体系的“中枢神经”和“参谋部”，分析前端信息，制定作战计划；将领导班子、条线主管建成战斗决策层，统筹前中后台按照战略、战术协同作战，确保成效实现。</w:t>
      </w:r>
      <w:r>
        <w:rPr>
          <w:rFonts w:hint="eastAsia" w:ascii="仿宋_GB2312" w:eastAsia="仿宋_GB2312"/>
          <w:b/>
          <w:sz w:val="32"/>
          <w:szCs w:val="32"/>
        </w:rPr>
        <w:t>建立灵活的利率定价机制</w:t>
      </w:r>
      <w:r>
        <w:rPr>
          <w:rFonts w:hint="eastAsia" w:ascii="仿宋_GB2312" w:eastAsia="仿宋_GB2312"/>
          <w:sz w:val="32"/>
          <w:szCs w:val="32"/>
        </w:rPr>
        <w:t>，吃透金融政策精神，把握LPR改革内涵，打出定价组合拳，通过灵活快捷的服务提高议价能力，设计、运用好小额信用类信贷产品，以服务战代替价格战，达到既“扩总量”，又“稳价格”的效果，保持良好的盈利水平。</w:t>
      </w:r>
      <w:r>
        <w:rPr>
          <w:rFonts w:hint="eastAsia" w:ascii="仿宋_GB2312" w:eastAsia="仿宋_GB2312"/>
          <w:b/>
          <w:sz w:val="32"/>
          <w:szCs w:val="32"/>
        </w:rPr>
        <w:t>建立灵活的绩效考核机制</w:t>
      </w:r>
      <w:r>
        <w:rPr>
          <w:rFonts w:hint="eastAsia" w:ascii="仿宋_GB2312" w:eastAsia="仿宋_GB2312"/>
          <w:sz w:val="32"/>
          <w:szCs w:val="32"/>
        </w:rPr>
        <w:t>，向侧重过程、更富弹性方向优化，体现“旺高淡低”的原则，根据全年不同时间段的业务重心，动态调节相应指标的考核权重，进一步契合发展规律，同时继续沿用经营指标和管理指标双维度考核机制，促进业务发展和内控合规的相辅相成、有机统一。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（三）围绕动能转换，加快数字转型，提升综合战斗力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深化以“非接触”为特征的移动金融，专注以“精细化”为核心的管理路径，增强四项能力，主动迎接新的发展拐点。</w:t>
      </w:r>
    </w:p>
    <w:p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启动金融科技主引擎，增强基础支撑能力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b/>
          <w:sz w:val="32"/>
          <w:szCs w:val="32"/>
        </w:rPr>
        <w:t>坚持务实求效原则</w:t>
      </w:r>
      <w:r>
        <w:rPr>
          <w:rFonts w:hint="eastAsia" w:ascii="仿宋_GB2312" w:eastAsia="仿宋_GB2312"/>
          <w:sz w:val="32"/>
          <w:szCs w:val="32"/>
        </w:rPr>
        <w:t>。融入大环境，秉承强化合作、适度超前的理念发展金融科技；借力大数据，提供决策参考，促进信贷风控更加成熟稳健；推动场景化，将金融科技与服务嵌入刚需场景，在社保、交通、教育、医疗等领域持续发力。</w:t>
      </w:r>
      <w:r>
        <w:rPr>
          <w:rFonts w:hint="eastAsia" w:ascii="仿宋_GB2312" w:eastAsia="仿宋_GB2312"/>
          <w:b/>
          <w:sz w:val="32"/>
          <w:szCs w:val="32"/>
        </w:rPr>
        <w:t>转变数据运用方式</w:t>
      </w:r>
      <w:r>
        <w:rPr>
          <w:rFonts w:hint="eastAsia" w:ascii="仿宋_GB2312" w:eastAsia="仿宋_GB2312"/>
          <w:sz w:val="32"/>
          <w:szCs w:val="32"/>
        </w:rPr>
        <w:t>。把数据作为核心资产管理，夯实数据基础、提升数据质量，注重数据运用和业务发展的深度融合，规划需要重塑的传统业务和数字化新业务的路线图，建立长效机制，不断迭代升级，提高数据运用效能。</w:t>
      </w:r>
      <w:r>
        <w:rPr>
          <w:rFonts w:hint="eastAsia" w:ascii="仿宋_GB2312" w:eastAsia="仿宋_GB2312"/>
          <w:b/>
          <w:sz w:val="32"/>
          <w:szCs w:val="32"/>
        </w:rPr>
        <w:t>试行柔性团队管理</w:t>
      </w:r>
      <w:r>
        <w:rPr>
          <w:rFonts w:hint="eastAsia" w:ascii="仿宋_GB2312" w:eastAsia="仿宋_GB2312"/>
          <w:sz w:val="32"/>
          <w:szCs w:val="32"/>
        </w:rPr>
        <w:t>。适度扩大科技人员规模，探索科技研发团队派驻到业务部门模式，优化组织架构，整合科技资源，深化科技业务协同，发挥科技驱动作用，推动业务创新发展。</w:t>
      </w:r>
    </w:p>
    <w:p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聚力网络金融主战场，提升精准营销能力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b/>
          <w:sz w:val="32"/>
          <w:szCs w:val="32"/>
        </w:rPr>
        <w:t>整合移动金融端口</w:t>
      </w:r>
      <w:r>
        <w:rPr>
          <w:rFonts w:hint="eastAsia" w:ascii="仿宋_GB2312" w:eastAsia="仿宋_GB2312"/>
          <w:sz w:val="32"/>
          <w:szCs w:val="32"/>
        </w:rPr>
        <w:t>，优化以手机银行为主的移动金融服务平台，着力打造基于客户画像的“千人千面”移动端，针对特殊客群、优质客户推出个性化、有温度的服务。</w:t>
      </w:r>
      <w:r>
        <w:rPr>
          <w:rFonts w:hint="eastAsia" w:ascii="仿宋_GB2312" w:eastAsia="仿宋_GB2312"/>
          <w:b/>
          <w:sz w:val="32"/>
          <w:szCs w:val="32"/>
        </w:rPr>
        <w:t>加大数字营销力度</w:t>
      </w:r>
      <w:r>
        <w:rPr>
          <w:rFonts w:hint="eastAsia" w:ascii="仿宋_GB2312" w:eastAsia="仿宋_GB2312"/>
          <w:sz w:val="32"/>
          <w:szCs w:val="32"/>
        </w:rPr>
        <w:t>，科学设计与搭建线上线下相结合的营销闭环，在收集数据的同时前置营销服务，实现数据采集与营销触达一举两得；构建全渠道协同营销模式，将地推建档信息和线上引流信息无缝链接到互金平台与全流程系统，进行精准识别和派件、及时跟踪和维护。</w:t>
      </w:r>
      <w:r>
        <w:rPr>
          <w:rFonts w:hint="eastAsia" w:ascii="仿宋_GB2312" w:eastAsia="仿宋_GB2312"/>
          <w:b/>
          <w:sz w:val="32"/>
          <w:szCs w:val="32"/>
        </w:rPr>
        <w:t>积极拓展生态场景</w:t>
      </w:r>
      <w:r>
        <w:rPr>
          <w:rFonts w:hint="eastAsia" w:ascii="仿宋_GB2312" w:eastAsia="仿宋_GB2312"/>
          <w:sz w:val="32"/>
          <w:szCs w:val="32"/>
        </w:rPr>
        <w:t>，广泛缔结生态合作伙伴，构建内容多元、环环相扣的数字化金融场景链，推动跨界融合、打破服务边界、拓宽流量入口，将产品和服务融入业务、融入生活，营造更加开放的金融生态圈。</w:t>
      </w:r>
      <w:r>
        <w:rPr>
          <w:rFonts w:hint="eastAsia" w:ascii="仿宋_GB2312" w:eastAsia="仿宋_GB2312"/>
          <w:b/>
          <w:sz w:val="32"/>
          <w:szCs w:val="32"/>
        </w:rPr>
        <w:t>打造掌上营销平台</w:t>
      </w:r>
      <w:r>
        <w:rPr>
          <w:rFonts w:hint="eastAsia" w:ascii="仿宋_GB2312" w:eastAsia="仿宋_GB2312"/>
          <w:sz w:val="32"/>
          <w:szCs w:val="32"/>
        </w:rPr>
        <w:t>，推行办贷移动化，实现客户经理通过一台Pad即可一对一上门服务，让客户“一次不用跑”就可享受“基础服务不出村（社区）”，客户经理“最多跑一趟”就可将“综合服务送上门”。</w:t>
      </w:r>
    </w:p>
    <w:p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建设产品创新主阵地，增强转型驱动能力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b/>
          <w:sz w:val="32"/>
          <w:szCs w:val="32"/>
        </w:rPr>
        <w:t>推进品牌战略</w:t>
      </w:r>
      <w:r>
        <w:rPr>
          <w:rFonts w:hint="eastAsia" w:ascii="仿宋_GB2312" w:eastAsia="仿宋_GB2312"/>
          <w:sz w:val="32"/>
          <w:szCs w:val="32"/>
        </w:rPr>
        <w:t>，树立金融产品的品牌意识，将产品创设与“知己金融”有机结合，打响“一当小贷”、“阳光E贷”、“快抵贷”等拳头产品的品牌，通过无形资产的增值提升市场知名度和关注度。</w:t>
      </w:r>
      <w:r>
        <w:rPr>
          <w:rFonts w:hint="eastAsia" w:ascii="仿宋_GB2312" w:eastAsia="仿宋_GB2312"/>
          <w:b/>
          <w:sz w:val="32"/>
          <w:szCs w:val="32"/>
        </w:rPr>
        <w:t>凸显个性特征</w:t>
      </w:r>
      <w:r>
        <w:rPr>
          <w:rFonts w:hint="eastAsia" w:ascii="仿宋_GB2312" w:eastAsia="仿宋_GB2312"/>
          <w:sz w:val="32"/>
          <w:szCs w:val="32"/>
        </w:rPr>
        <w:t>，坚持以客户为中心，根据客户需求、产业特点、地域差异等要素进行产品的整合和研发，有选择地为不同市场中的客户设计专享型金融产品，以个性化、专业化特色提高客户粘度，延长产品生命周期。</w:t>
      </w:r>
      <w:r>
        <w:rPr>
          <w:rFonts w:hint="eastAsia" w:ascii="仿宋_GB2312" w:eastAsia="仿宋_GB2312"/>
          <w:b/>
          <w:sz w:val="32"/>
          <w:szCs w:val="32"/>
        </w:rPr>
        <w:t>加快宣传推广</w:t>
      </w:r>
      <w:r>
        <w:rPr>
          <w:rFonts w:hint="eastAsia" w:ascii="仿宋_GB2312" w:eastAsia="仿宋_GB2312"/>
          <w:sz w:val="32"/>
          <w:szCs w:val="32"/>
        </w:rPr>
        <w:t>，加大新产品、新业务的学习、宣传、推广力度，营造环境氛围、拓宽工作思路、建立风控机制，让金融产品创新真正成为动能转换的助推器。</w:t>
      </w:r>
    </w:p>
    <w:p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突出精细管理主抓手，增强降本增效能力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b/>
          <w:sz w:val="32"/>
          <w:szCs w:val="32"/>
        </w:rPr>
        <w:t>推进信贷管理精细化</w:t>
      </w:r>
      <w:r>
        <w:rPr>
          <w:rFonts w:hint="eastAsia" w:ascii="仿宋_GB2312" w:eastAsia="仿宋_GB2312"/>
          <w:sz w:val="32"/>
          <w:szCs w:val="32"/>
        </w:rPr>
        <w:t>。将人工“跑客户”和机器“跑数据”相结合，全面掌握客户的软、硬信息，力求风控要素模型化、信贷审批精准化，做到准入有标准、流程有控制、责任有追究；完善容错纠错机制，适度放宽涉农小微贷款不良容忍率，引导客户经理主动抓小放大。</w:t>
      </w:r>
      <w:r>
        <w:rPr>
          <w:rFonts w:hint="eastAsia" w:ascii="仿宋_GB2312" w:eastAsia="仿宋_GB2312"/>
          <w:b/>
          <w:sz w:val="32"/>
          <w:szCs w:val="32"/>
        </w:rPr>
        <w:t>推进财务管理精细化</w:t>
      </w:r>
      <w:r>
        <w:rPr>
          <w:rFonts w:hint="eastAsia" w:ascii="仿宋_GB2312" w:eastAsia="仿宋_GB2312"/>
          <w:sz w:val="32"/>
          <w:szCs w:val="32"/>
        </w:rPr>
        <w:t>。强化管会数据运用，丰富管理手段，做实财务分析，厉行节约、勤俭办行；加强资产负债管理，着眼资本收益率、成本收入比等效益指标，完善财务预算目标管理和评价体系；利用FTP引导产品定价、优化资源配置，在负债端降本节支，在资产端开源增收。</w:t>
      </w:r>
      <w:r>
        <w:rPr>
          <w:rFonts w:hint="eastAsia" w:ascii="仿宋_GB2312" w:eastAsia="仿宋_GB2312"/>
          <w:b/>
          <w:sz w:val="32"/>
          <w:szCs w:val="32"/>
        </w:rPr>
        <w:t>推进运营管理精细化</w:t>
      </w:r>
      <w:r>
        <w:rPr>
          <w:rFonts w:hint="eastAsia" w:ascii="仿宋_GB2312" w:eastAsia="仿宋_GB2312"/>
          <w:sz w:val="32"/>
          <w:szCs w:val="32"/>
        </w:rPr>
        <w:t>。加快厅堂转型步伐，按照“功能分区、业务分流、产品分销”的原则，借助智能机具、电子渠道，利用生物识别、无纸化等技术，推动厅堂沿“自助、智能、智慧”方向加速转型；优化运营岗位设置，开展柜面劳动组合标准化管理，进一步推广弹性柜员，使灵活柜面与智慧厅堂成为减员增效的双引擎。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（四）围绕固本强基，深化提质转型，提升发展内生力</w:t>
      </w:r>
    </w:p>
    <w:p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始终把党建引领作为高质量发展的“坚强基石”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b/>
          <w:sz w:val="32"/>
          <w:szCs w:val="32"/>
        </w:rPr>
        <w:t>坚持党的领导和公司治理融合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把党委研究讨论作为决策重大问题的前置程序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加强董事会自身建设</w:t>
      </w:r>
      <w:r>
        <w:rPr>
          <w:rFonts w:hint="eastAsia" w:ascii="仿宋_GB2312" w:eastAsia="仿宋_GB2312"/>
          <w:sz w:val="32"/>
          <w:szCs w:val="32"/>
        </w:rPr>
        <w:t>，进一步</w:t>
      </w:r>
      <w:r>
        <w:rPr>
          <w:rFonts w:ascii="仿宋_GB2312" w:eastAsia="仿宋_GB2312"/>
          <w:sz w:val="32"/>
          <w:szCs w:val="32"/>
        </w:rPr>
        <w:t>健全组织架构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优化成员构成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规范履职行为</w:t>
      </w:r>
      <w:r>
        <w:rPr>
          <w:rFonts w:hint="eastAsia" w:ascii="仿宋_GB2312" w:eastAsia="仿宋_GB2312"/>
          <w:sz w:val="32"/>
          <w:szCs w:val="32"/>
        </w:rPr>
        <w:t>，促进公司治理有“形”更有“神”。</w:t>
      </w:r>
      <w:r>
        <w:rPr>
          <w:rFonts w:hint="eastAsia" w:ascii="仿宋_GB2312" w:eastAsia="仿宋_GB2312"/>
          <w:b/>
          <w:sz w:val="32"/>
          <w:szCs w:val="32"/>
        </w:rPr>
        <w:t>发挥战斗堡垒和党建共建作用</w:t>
      </w:r>
      <w:r>
        <w:rPr>
          <w:rFonts w:hint="eastAsia" w:ascii="仿宋_GB2312" w:eastAsia="仿宋_GB2312"/>
          <w:sz w:val="32"/>
          <w:szCs w:val="32"/>
        </w:rPr>
        <w:t>，进一步锤炼实干担当的过硬作风，引导广大党员强化身份意识、先锋意识、表率意识，积极发挥7个党总支的作用，大力推进党建+金融服务战略合作，广泛与乡镇（街道、企业）签订党建共建战略合作协议、派驻金融助理。</w:t>
      </w:r>
      <w:r>
        <w:rPr>
          <w:rFonts w:hint="eastAsia" w:ascii="仿宋_GB2312" w:eastAsia="仿宋_GB2312"/>
          <w:b/>
          <w:sz w:val="32"/>
          <w:szCs w:val="32"/>
        </w:rPr>
        <w:t>营造积极向上和风清气正氛围</w:t>
      </w:r>
      <w:r>
        <w:rPr>
          <w:rFonts w:hint="eastAsia" w:ascii="仿宋_GB2312" w:eastAsia="仿宋_GB2312"/>
          <w:sz w:val="32"/>
          <w:szCs w:val="32"/>
        </w:rPr>
        <w:t>，组织开展“争先进、当标兵”活动，深入挖掘劳模精神、工匠精神、背包精神，树立一批主动谋事、务实干事的典型模范；持之以恒加强作风建设，一体推进不敢腐、不能腐、不想腐“三不”机制，坚持严管厚爱结合、激励约束并重，切实增强全员的自律意识、合规意识、廉洁意识。</w:t>
      </w:r>
    </w:p>
    <w:p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始终把风控合规作为高质量发展的“根本保障”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b/>
          <w:sz w:val="32"/>
          <w:szCs w:val="32"/>
        </w:rPr>
        <w:t>深化全面风险管理</w:t>
      </w:r>
      <w:r>
        <w:rPr>
          <w:rFonts w:hint="eastAsia" w:ascii="仿宋_GB2312" w:eastAsia="仿宋_GB2312"/>
          <w:sz w:val="32"/>
          <w:szCs w:val="32"/>
        </w:rPr>
        <w:t>，以先进管理技术量化风险，推进风险偏好和限额管理体系建设，以“三大行动”为契机，有序实施排查、处置、提升各阶段工作，摸清风险底数，查堵管理漏洞，提高整体风控能力。</w:t>
      </w:r>
      <w:r>
        <w:rPr>
          <w:rFonts w:hint="eastAsia" w:ascii="仿宋_GB2312" w:eastAsia="仿宋_GB2312"/>
          <w:b/>
          <w:sz w:val="32"/>
          <w:szCs w:val="32"/>
        </w:rPr>
        <w:t>加强合规文化建设</w:t>
      </w:r>
      <w:r>
        <w:rPr>
          <w:rFonts w:hint="eastAsia" w:ascii="仿宋_GB2312" w:eastAsia="仿宋_GB2312"/>
          <w:sz w:val="32"/>
          <w:szCs w:val="32"/>
        </w:rPr>
        <w:t>，厚植合规创造价值理念，主动适应金融监管新常态，不断完善合规内控体系，变被动合规为主动合规、条线合规为全员合规、成本合规为价值合规。</w:t>
      </w:r>
      <w:r>
        <w:rPr>
          <w:rFonts w:hint="eastAsia" w:ascii="仿宋_GB2312" w:eastAsia="仿宋_GB2312"/>
          <w:b/>
          <w:sz w:val="32"/>
          <w:szCs w:val="32"/>
        </w:rPr>
        <w:t>推进风险导向审计</w:t>
      </w:r>
      <w:r>
        <w:rPr>
          <w:rFonts w:hint="eastAsia" w:ascii="仿宋_GB2312" w:eastAsia="仿宋_GB2312"/>
          <w:sz w:val="32"/>
          <w:szCs w:val="32"/>
        </w:rPr>
        <w:t>，加强审计数据监测分析，前移审计关口，加快实现对重点机构、重点业务的审计全覆盖，深入揭示经营风险隐患和内控薄弱环节，以审促改、以审促建。</w:t>
      </w:r>
      <w:r>
        <w:rPr>
          <w:rFonts w:hint="eastAsia" w:ascii="仿宋_GB2312" w:eastAsia="仿宋_GB2312"/>
          <w:b/>
          <w:sz w:val="32"/>
          <w:szCs w:val="32"/>
        </w:rPr>
        <w:t>夯实案件防控基础</w:t>
      </w:r>
      <w:r>
        <w:rPr>
          <w:rFonts w:hint="eastAsia" w:ascii="仿宋_GB2312" w:eastAsia="仿宋_GB2312"/>
          <w:sz w:val="32"/>
          <w:szCs w:val="32"/>
        </w:rPr>
        <w:t>，主动适应案防工作的新形势、新任务，进一步强化案防责任意识，加强员工行为管理，对违规违纪问题一经发现从严落实责任追究，加大处罚惩治力度。</w:t>
      </w:r>
    </w:p>
    <w:p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始终把队伍建设作为高质量发展的“核心资本”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b/>
          <w:sz w:val="32"/>
          <w:szCs w:val="32"/>
        </w:rPr>
        <w:t>在完善选人用人机制上下功夫</w:t>
      </w:r>
      <w:r>
        <w:rPr>
          <w:rFonts w:hint="eastAsia" w:ascii="仿宋_GB2312" w:eastAsia="仿宋_GB2312"/>
          <w:sz w:val="32"/>
          <w:szCs w:val="32"/>
        </w:rPr>
        <w:t>，坚持内部培养为主、外部引进为辅的选拔任用原则，用好现有人才、吸引急需人才、储备未来人才；以实干论英雄，凭业绩用干部，让有为者有位，吃苦者吃香，实干者实惠。</w:t>
      </w:r>
      <w:r>
        <w:rPr>
          <w:rFonts w:hint="eastAsia" w:ascii="仿宋_GB2312" w:eastAsia="仿宋_GB2312"/>
          <w:b/>
          <w:sz w:val="32"/>
          <w:szCs w:val="32"/>
        </w:rPr>
        <w:t>在完善人才培养机制上下功夫</w:t>
      </w:r>
      <w:r>
        <w:rPr>
          <w:rFonts w:hint="eastAsia" w:ascii="仿宋_GB2312" w:eastAsia="仿宋_GB2312"/>
          <w:sz w:val="32"/>
          <w:szCs w:val="32"/>
        </w:rPr>
        <w:t>，建立不同层级后备人才库，注重从基层一线选拔、从复合型员工中选拔，并将其放置业务发展第一线磨练意志、掌握技术、陶冶情操，增强应对复杂局面的能力。</w:t>
      </w:r>
      <w:r>
        <w:rPr>
          <w:rFonts w:hint="eastAsia" w:ascii="仿宋_GB2312" w:eastAsia="仿宋_GB2312"/>
          <w:b/>
          <w:sz w:val="32"/>
          <w:szCs w:val="32"/>
        </w:rPr>
        <w:t>在完善教育培训机制上下功夫</w:t>
      </w:r>
      <w:r>
        <w:rPr>
          <w:rFonts w:hint="eastAsia" w:ascii="仿宋_GB2312" w:eastAsia="仿宋_GB2312"/>
          <w:sz w:val="32"/>
          <w:szCs w:val="32"/>
        </w:rPr>
        <w:t>，持续打造学习型银行，学习行业标杆、开展专家培训、倡导骨干授课，鼓励全员参与学历职称教育、专业资格考试；完善以会代训机制，优化成效管控措施，提高全员培训的标准化、节约化和持续性，助力绩效提升，加速个人成长。</w:t>
      </w:r>
    </w:p>
    <w:p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始终把文化品牌作为高质量发展的“制胜法宝”</w:t>
      </w:r>
      <w:r>
        <w:rPr>
          <w:rFonts w:hint="eastAsia" w:ascii="仿宋_GB2312" w:eastAsia="仿宋_GB2312"/>
          <w:sz w:val="32"/>
          <w:szCs w:val="32"/>
        </w:rPr>
        <w:t>。坚定不移地走“文化兴行、文化强行”之路，既打造注重和谐与稳定的“家文化”，又打造强调竞争和激情的“狼性文化”，使二者兼容互补、相辅相成；大力弘扬不断创新、追求卓越的个人价值观，鼓励干部员工加强管理技能、业务技术的思考钻研，营造争当业务能手、条线专家的环境氛围，践行“奋苦着大为”的企业精神；积极构建与时代特征相吻合、与发展阶段相适应的品牌体系，着力塑造文化品牌、服务品牌、形象品牌、营销品牌；把打造“良好银行”的目标融入到企业文化氛围中，内化于员工言行举止中，形成独具特色的服务理念、经营理念、人才理念、合规理念，促进企业文化与发展战略的和谐统一，文化优势与竞争优势的和谐统一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各位股东、代理人，今年是扬州农商银行零售转型爬坡过坎的关键年，大道至简，实干为要，让我们坚定信心、迎难而上、开拓进取，以高质量发展的崭新业绩，向扬州农商银行成立10周年献礼！</w:t>
      </w: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757187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15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spacing w:line="180" w:lineRule="exact"/>
        <w:rPr>
          <w:rFonts w:ascii="仿宋_GB2312" w:eastAsia="仿宋_GB2312"/>
          <w:sz w:val="18"/>
          <w:szCs w:val="18"/>
        </w:rPr>
      </w:pPr>
      <w:r>
        <w:rPr>
          <w:rStyle w:val="9"/>
          <w:sz w:val="18"/>
          <w:szCs w:val="18"/>
        </w:rPr>
        <w:footnoteRef/>
      </w:r>
      <w:r>
        <w:rPr>
          <w:rFonts w:hint="eastAsia" w:ascii="仿宋_GB2312" w:eastAsia="仿宋_GB2312"/>
          <w:sz w:val="18"/>
          <w:szCs w:val="18"/>
        </w:rPr>
        <w:t>战略规划可概括为“一零二四”：</w:t>
      </w:r>
    </w:p>
    <w:p>
      <w:pPr>
        <w:pStyle w:val="5"/>
        <w:snapToGrid/>
        <w:spacing w:line="180" w:lineRule="exact"/>
        <w:jc w:val="both"/>
      </w:pPr>
      <w:r>
        <w:rPr>
          <w:rFonts w:hint="eastAsia" w:ascii="仿宋_GB2312" w:eastAsia="仿宋_GB2312"/>
        </w:rPr>
        <w:t>“一”即战略愿景：区域最具服务力的银行；“零”即零售立行；“二”即战略立意+战略制高点：战略立意为相知相伴的“小快灵”银行，战略制高点为“强总行”；“四”即四条战略路径：专业化经营、精益型管理、学习型队伍、数字化转型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282F"/>
    <w:rsid w:val="000033CE"/>
    <w:rsid w:val="001358BA"/>
    <w:rsid w:val="00170067"/>
    <w:rsid w:val="00182FBC"/>
    <w:rsid w:val="00183E6E"/>
    <w:rsid w:val="001E489D"/>
    <w:rsid w:val="00221701"/>
    <w:rsid w:val="00236BD4"/>
    <w:rsid w:val="00262126"/>
    <w:rsid w:val="00266A94"/>
    <w:rsid w:val="00275D6A"/>
    <w:rsid w:val="00287C0A"/>
    <w:rsid w:val="002944C4"/>
    <w:rsid w:val="002A5939"/>
    <w:rsid w:val="002C279C"/>
    <w:rsid w:val="002E03F4"/>
    <w:rsid w:val="003027D4"/>
    <w:rsid w:val="00321798"/>
    <w:rsid w:val="00357F98"/>
    <w:rsid w:val="00367C4E"/>
    <w:rsid w:val="00391371"/>
    <w:rsid w:val="003930C1"/>
    <w:rsid w:val="00394AA7"/>
    <w:rsid w:val="003A522E"/>
    <w:rsid w:val="00414AAA"/>
    <w:rsid w:val="00433FF8"/>
    <w:rsid w:val="00443DD9"/>
    <w:rsid w:val="00447AA8"/>
    <w:rsid w:val="004912AA"/>
    <w:rsid w:val="00494208"/>
    <w:rsid w:val="004B0A7E"/>
    <w:rsid w:val="004E142B"/>
    <w:rsid w:val="004F4E9F"/>
    <w:rsid w:val="004F7801"/>
    <w:rsid w:val="005137C4"/>
    <w:rsid w:val="00514D72"/>
    <w:rsid w:val="00542E3B"/>
    <w:rsid w:val="00555D45"/>
    <w:rsid w:val="00556A4F"/>
    <w:rsid w:val="00557C65"/>
    <w:rsid w:val="00562F2C"/>
    <w:rsid w:val="00575830"/>
    <w:rsid w:val="00582A69"/>
    <w:rsid w:val="00596ECE"/>
    <w:rsid w:val="005A3BED"/>
    <w:rsid w:val="005A40A6"/>
    <w:rsid w:val="005B17BF"/>
    <w:rsid w:val="005B413B"/>
    <w:rsid w:val="005C6556"/>
    <w:rsid w:val="005D5C85"/>
    <w:rsid w:val="005F346F"/>
    <w:rsid w:val="005F53FC"/>
    <w:rsid w:val="00601046"/>
    <w:rsid w:val="0061222E"/>
    <w:rsid w:val="00624C67"/>
    <w:rsid w:val="0064711B"/>
    <w:rsid w:val="00686243"/>
    <w:rsid w:val="006934B9"/>
    <w:rsid w:val="006A186E"/>
    <w:rsid w:val="006D5559"/>
    <w:rsid w:val="006E0EAE"/>
    <w:rsid w:val="006E2F77"/>
    <w:rsid w:val="007011CA"/>
    <w:rsid w:val="007048EB"/>
    <w:rsid w:val="00712379"/>
    <w:rsid w:val="0072308D"/>
    <w:rsid w:val="00724DFD"/>
    <w:rsid w:val="00754A7A"/>
    <w:rsid w:val="00783144"/>
    <w:rsid w:val="00791BE7"/>
    <w:rsid w:val="00792590"/>
    <w:rsid w:val="007A21F0"/>
    <w:rsid w:val="007B22AD"/>
    <w:rsid w:val="007B788D"/>
    <w:rsid w:val="007F52FA"/>
    <w:rsid w:val="0080367F"/>
    <w:rsid w:val="00821DD4"/>
    <w:rsid w:val="00836567"/>
    <w:rsid w:val="008369D4"/>
    <w:rsid w:val="008863B5"/>
    <w:rsid w:val="0088660D"/>
    <w:rsid w:val="008B2CE1"/>
    <w:rsid w:val="008D081E"/>
    <w:rsid w:val="008D30BA"/>
    <w:rsid w:val="00921F69"/>
    <w:rsid w:val="00923500"/>
    <w:rsid w:val="00942B6A"/>
    <w:rsid w:val="009475DC"/>
    <w:rsid w:val="00955849"/>
    <w:rsid w:val="009661CC"/>
    <w:rsid w:val="009669CE"/>
    <w:rsid w:val="009A0EF4"/>
    <w:rsid w:val="009C210A"/>
    <w:rsid w:val="009C73A0"/>
    <w:rsid w:val="009E2BDA"/>
    <w:rsid w:val="009F27B7"/>
    <w:rsid w:val="009F4174"/>
    <w:rsid w:val="009F6B66"/>
    <w:rsid w:val="00A042BB"/>
    <w:rsid w:val="00A14845"/>
    <w:rsid w:val="00A3282F"/>
    <w:rsid w:val="00A42828"/>
    <w:rsid w:val="00A75804"/>
    <w:rsid w:val="00A75E18"/>
    <w:rsid w:val="00A97A24"/>
    <w:rsid w:val="00AA598F"/>
    <w:rsid w:val="00AB2837"/>
    <w:rsid w:val="00AD592F"/>
    <w:rsid w:val="00AE0F7A"/>
    <w:rsid w:val="00B018C6"/>
    <w:rsid w:val="00B11F03"/>
    <w:rsid w:val="00B33723"/>
    <w:rsid w:val="00B85B5D"/>
    <w:rsid w:val="00B90A2C"/>
    <w:rsid w:val="00B97F7D"/>
    <w:rsid w:val="00BF6D0D"/>
    <w:rsid w:val="00C04C2D"/>
    <w:rsid w:val="00C0673E"/>
    <w:rsid w:val="00C2158B"/>
    <w:rsid w:val="00C21D34"/>
    <w:rsid w:val="00C22DFB"/>
    <w:rsid w:val="00C26EFA"/>
    <w:rsid w:val="00C35C86"/>
    <w:rsid w:val="00C46C1D"/>
    <w:rsid w:val="00C5101F"/>
    <w:rsid w:val="00C53DC5"/>
    <w:rsid w:val="00C7764C"/>
    <w:rsid w:val="00C960E4"/>
    <w:rsid w:val="00CC3EFB"/>
    <w:rsid w:val="00D0100E"/>
    <w:rsid w:val="00D052A4"/>
    <w:rsid w:val="00D34824"/>
    <w:rsid w:val="00D43B29"/>
    <w:rsid w:val="00D470D9"/>
    <w:rsid w:val="00D532D2"/>
    <w:rsid w:val="00D548CD"/>
    <w:rsid w:val="00D852C6"/>
    <w:rsid w:val="00D97E79"/>
    <w:rsid w:val="00DA0A3D"/>
    <w:rsid w:val="00DD4ABC"/>
    <w:rsid w:val="00DE69F4"/>
    <w:rsid w:val="00E114C6"/>
    <w:rsid w:val="00E44A2B"/>
    <w:rsid w:val="00EA1399"/>
    <w:rsid w:val="00EB6398"/>
    <w:rsid w:val="00EC19F4"/>
    <w:rsid w:val="00F028C4"/>
    <w:rsid w:val="00F04880"/>
    <w:rsid w:val="00F10F6A"/>
    <w:rsid w:val="00F14F21"/>
    <w:rsid w:val="00F67039"/>
    <w:rsid w:val="00F73BA9"/>
    <w:rsid w:val="00FC16BE"/>
    <w:rsid w:val="00FC76E7"/>
    <w:rsid w:val="00FE1C2D"/>
    <w:rsid w:val="00FE483A"/>
    <w:rsid w:val="00FE66B6"/>
    <w:rsid w:val="7C50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link w:val="12"/>
    <w:semiHidden/>
    <w:unhideWhenUsed/>
    <w:uiPriority w:val="99"/>
    <w:pPr>
      <w:snapToGrid w:val="0"/>
      <w:jc w:val="left"/>
    </w:p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0"/>
    <w:semiHidden/>
    <w:unhideWhenUsed/>
    <w:uiPriority w:val="99"/>
    <w:pPr>
      <w:snapToGrid w:val="0"/>
      <w:jc w:val="left"/>
    </w:pPr>
    <w:rPr>
      <w:sz w:val="18"/>
      <w:szCs w:val="18"/>
    </w:rPr>
  </w:style>
  <w:style w:type="character" w:styleId="8">
    <w:name w:val="endnote reference"/>
    <w:basedOn w:val="7"/>
    <w:semiHidden/>
    <w:unhideWhenUsed/>
    <w:uiPriority w:val="99"/>
    <w:rPr>
      <w:vertAlign w:val="superscript"/>
    </w:rPr>
  </w:style>
  <w:style w:type="character" w:styleId="9">
    <w:name w:val="footnote reference"/>
    <w:basedOn w:val="7"/>
    <w:semiHidden/>
    <w:unhideWhenUsed/>
    <w:uiPriority w:val="99"/>
    <w:rPr>
      <w:vertAlign w:val="superscript"/>
    </w:rPr>
  </w:style>
  <w:style w:type="character" w:customStyle="1" w:styleId="10">
    <w:name w:val="脚注文本 Char"/>
    <w:basedOn w:val="7"/>
    <w:link w:val="5"/>
    <w:semiHidden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尾注文本 Char"/>
    <w:basedOn w:val="7"/>
    <w:link w:val="2"/>
    <w:semiHidden/>
    <w:uiPriority w:val="99"/>
  </w:style>
  <w:style w:type="character" w:customStyle="1" w:styleId="13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4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D9D430-9274-4935-B8D5-CB6E9E619F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1374</Words>
  <Characters>7834</Characters>
  <Lines>65</Lines>
  <Paragraphs>18</Paragraphs>
  <TotalTime>0</TotalTime>
  <ScaleCrop>false</ScaleCrop>
  <LinksUpToDate>false</LinksUpToDate>
  <CharactersWithSpaces>9190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2020-03-30T06:51:00Z</dcterms:created>
  <dc:creator>Administrator</dc:creator>
  <cp:lastModifiedBy>Administrator</cp:lastModifiedBy>
  <dcterms:modified xsi:type="dcterms:W3CDTF">2020-04-13T07:50:03Z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