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autoSpaceDE/>
        <w:autoSpaceDN/>
        <w:bidi w:val="0"/>
        <w:adjustRightInd/>
        <w:spacing w:line="560" w:lineRule="exact"/>
        <w:jc w:val="left"/>
        <w:textAlignment w:val="auto"/>
        <w:rPr>
          <w:rFonts w:hint="eastAsia" w:ascii="黑体" w:hAnsi="黑体" w:eastAsia="黑体" w:cs="黑体"/>
          <w:b/>
          <w:kern w:val="0"/>
          <w:sz w:val="32"/>
          <w:szCs w:val="32"/>
        </w:rPr>
      </w:pPr>
      <w:r>
        <w:rPr>
          <w:rFonts w:hint="eastAsia" w:ascii="黑体" w:hAnsi="黑体" w:eastAsia="黑体" w:cs="黑体"/>
          <w:b/>
          <w:kern w:val="0"/>
          <w:sz w:val="32"/>
          <w:szCs w:val="32"/>
          <w:lang w:val="en-US" w:eastAsia="zh-CN"/>
        </w:rPr>
        <w:t>2019年度股东大会资料四</w:t>
      </w:r>
      <w:r>
        <w:rPr>
          <w:rFonts w:hint="eastAsia" w:ascii="黑体" w:hAnsi="黑体" w:eastAsia="黑体" w:cs="黑体"/>
          <w:b/>
          <w:kern w:val="0"/>
          <w:sz w:val="32"/>
          <w:szCs w:val="32"/>
        </w:rPr>
        <w:t xml:space="preserve">                         商密A</w:t>
      </w:r>
    </w:p>
    <w:p>
      <w:pPr>
        <w:pStyle w:val="9"/>
        <w:keepNext w:val="0"/>
        <w:keepLines w:val="0"/>
        <w:pageBreakBefore w:val="0"/>
        <w:widowControl w:val="0"/>
        <w:kinsoku/>
        <w:wordWrap/>
        <w:overflowPunct/>
        <w:topLinePunct w:val="0"/>
        <w:bidi w:val="0"/>
        <w:spacing w:before="0" w:after="0" w:line="620" w:lineRule="exact"/>
        <w:jc w:val="both"/>
        <w:textAlignment w:val="auto"/>
        <w:rPr>
          <w:rFonts w:ascii="仿宋_GB2312" w:hAnsi="宋体" w:eastAsia="仿宋_GB2312"/>
          <w:b/>
          <w:bCs/>
          <w:sz w:val="30"/>
          <w:szCs w:val="30"/>
        </w:rPr>
      </w:pPr>
    </w:p>
    <w:p>
      <w:pPr>
        <w:keepNext w:val="0"/>
        <w:keepLines w:val="0"/>
        <w:pageBreakBefore w:val="0"/>
        <w:widowControl w:val="0"/>
        <w:kinsoku/>
        <w:wordWrap/>
        <w:overflowPunct/>
        <w:topLinePunct w:val="0"/>
        <w:bidi w:val="0"/>
        <w:spacing w:line="620" w:lineRule="exact"/>
        <w:jc w:val="center"/>
        <w:textAlignment w:val="auto"/>
        <w:rPr>
          <w:rFonts w:hint="eastAsia" w:ascii="方正小标宋简体" w:hAnsi="宋体" w:eastAsia="方正小标宋简体"/>
          <w:bCs/>
          <w:sz w:val="44"/>
          <w:szCs w:val="44"/>
          <w:lang w:eastAsia="zh-CN"/>
        </w:rPr>
      </w:pPr>
      <w:r>
        <w:rPr>
          <w:rFonts w:hint="eastAsia" w:ascii="方正小标宋简体" w:hAnsi="宋体" w:eastAsia="方正小标宋简体"/>
          <w:bCs/>
          <w:sz w:val="44"/>
          <w:szCs w:val="44"/>
          <w:lang w:eastAsia="zh-CN"/>
        </w:rPr>
        <w:t>江苏扬州农村商业银行股份有限公司</w:t>
      </w:r>
    </w:p>
    <w:p>
      <w:pPr>
        <w:keepNext w:val="0"/>
        <w:keepLines w:val="0"/>
        <w:pageBreakBefore w:val="0"/>
        <w:widowControl w:val="0"/>
        <w:kinsoku/>
        <w:wordWrap/>
        <w:overflowPunct/>
        <w:topLinePunct w:val="0"/>
        <w:bidi w:val="0"/>
        <w:spacing w:line="620" w:lineRule="exact"/>
        <w:jc w:val="center"/>
        <w:textAlignment w:val="auto"/>
        <w:rPr>
          <w:rFonts w:hint="eastAsia" w:ascii="方正小标宋简体" w:hAnsi="宋体" w:eastAsia="方正小标宋简体"/>
          <w:bCs/>
          <w:sz w:val="44"/>
          <w:szCs w:val="44"/>
          <w:lang w:val="zh-TW" w:eastAsia="zh-CN"/>
        </w:rPr>
      </w:pPr>
      <w:r>
        <w:rPr>
          <w:rFonts w:hint="eastAsia" w:ascii="方正小标宋简体" w:hAnsi="宋体" w:eastAsia="方正小标宋简体"/>
          <w:bCs/>
          <w:sz w:val="44"/>
          <w:szCs w:val="44"/>
          <w:lang w:val="zh-TW" w:eastAsia="zh-CN"/>
        </w:rPr>
        <w:t>2019年度财务决算和2020年财务预算</w:t>
      </w:r>
    </w:p>
    <w:p>
      <w:pPr>
        <w:keepNext w:val="0"/>
        <w:keepLines w:val="0"/>
        <w:pageBreakBefore w:val="0"/>
        <w:widowControl w:val="0"/>
        <w:kinsoku/>
        <w:wordWrap/>
        <w:overflowPunct/>
        <w:topLinePunct w:val="0"/>
        <w:bidi w:val="0"/>
        <w:spacing w:line="620" w:lineRule="exact"/>
        <w:jc w:val="center"/>
        <w:textAlignment w:val="auto"/>
        <w:rPr>
          <w:rFonts w:hint="eastAsia" w:ascii="方正小标宋简体" w:hAnsi="宋体" w:eastAsia="方正小标宋简体"/>
          <w:bCs/>
          <w:sz w:val="44"/>
          <w:szCs w:val="44"/>
          <w:lang w:val="zh-TW" w:eastAsia="zh-CN"/>
        </w:rPr>
      </w:pPr>
      <w:r>
        <w:rPr>
          <w:rFonts w:hint="eastAsia" w:ascii="方正小标宋简体" w:hAnsi="宋体" w:eastAsia="方正小标宋简体"/>
          <w:bCs/>
          <w:sz w:val="44"/>
          <w:szCs w:val="44"/>
          <w:lang w:val="zh-TW" w:eastAsia="zh-CN"/>
        </w:rPr>
        <w:t>情况报告</w:t>
      </w:r>
    </w:p>
    <w:p>
      <w:pPr>
        <w:keepNext w:val="0"/>
        <w:keepLines w:val="0"/>
        <w:pageBreakBefore w:val="0"/>
        <w:widowControl w:val="0"/>
        <w:kinsoku/>
        <w:wordWrap/>
        <w:overflowPunct/>
        <w:topLinePunct w:val="0"/>
        <w:bidi w:val="0"/>
        <w:spacing w:line="620" w:lineRule="exact"/>
        <w:jc w:val="center"/>
        <w:textAlignment w:val="auto"/>
        <w:rPr>
          <w:rFonts w:hint="eastAsia" w:ascii="方正小标宋简体" w:hAnsi="宋体" w:eastAsia="方正小标宋简体"/>
          <w:bCs/>
          <w:sz w:val="44"/>
          <w:szCs w:val="44"/>
          <w:lang w:val="zh-TW" w:eastAsia="zh-CN"/>
        </w:rPr>
      </w:pPr>
    </w:p>
    <w:p>
      <w:pPr>
        <w:keepNext w:val="0"/>
        <w:keepLines w:val="0"/>
        <w:pageBreakBefore w:val="0"/>
        <w:widowControl w:val="0"/>
        <w:kinsoku/>
        <w:wordWrap/>
        <w:overflowPunct/>
        <w:topLinePunct w:val="0"/>
        <w:bidi w:val="0"/>
        <w:spacing w:line="620" w:lineRule="exact"/>
        <w:jc w:val="center"/>
        <w:textAlignment w:val="auto"/>
        <w:rPr>
          <w:rFonts w:hint="eastAsia" w:ascii="方正小标宋简体" w:hAnsi="宋体" w:eastAsia="方正小标宋简体"/>
          <w:bCs/>
          <w:sz w:val="44"/>
          <w:szCs w:val="44"/>
          <w:lang w:val="zh-TW" w:eastAsia="zh-CN"/>
        </w:rPr>
      </w:pPr>
    </w:p>
    <w:p>
      <w:pPr>
        <w:keepNext w:val="0"/>
        <w:keepLines w:val="0"/>
        <w:pageBreakBefore w:val="0"/>
        <w:widowControl w:val="0"/>
        <w:kinsoku/>
        <w:wordWrap/>
        <w:autoSpaceDE/>
        <w:autoSpaceDN/>
        <w:bidi w:val="0"/>
        <w:adjustRightInd/>
        <w:spacing w:line="560" w:lineRule="exact"/>
        <w:jc w:val="left"/>
        <w:textAlignment w:val="auto"/>
        <w:rPr>
          <w:rFonts w:hint="eastAsia" w:ascii="仿宋_GB2312" w:hAnsi="宋体" w:eastAsia="仿宋_GB2312"/>
          <w:sz w:val="32"/>
          <w:szCs w:val="32"/>
        </w:rPr>
      </w:pPr>
      <w:r>
        <w:rPr>
          <w:rFonts w:hint="eastAsia" w:ascii="仿宋_GB2312" w:hAnsi="宋体" w:eastAsia="仿宋_GB2312"/>
          <w:sz w:val="32"/>
          <w:szCs w:val="32"/>
        </w:rPr>
        <w:t>各位</w:t>
      </w:r>
      <w:r>
        <w:rPr>
          <w:rFonts w:hint="eastAsia" w:ascii="仿宋_GB2312" w:hAnsi="宋体" w:eastAsia="仿宋_GB2312"/>
          <w:sz w:val="32"/>
          <w:szCs w:val="32"/>
          <w:lang w:eastAsia="zh-CN"/>
        </w:rPr>
        <w:t>股东、代理人</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现将2019年财务决算和2020年财务预算情况报告如下：</w:t>
      </w:r>
    </w:p>
    <w:p>
      <w:pPr>
        <w:keepNext w:val="0"/>
        <w:keepLines w:val="0"/>
        <w:pageBreakBefore w:val="0"/>
        <w:widowControl w:val="0"/>
        <w:tabs>
          <w:tab w:val="left" w:pos="542"/>
        </w:tabs>
        <w:kinsoku/>
        <w:wordWrap/>
        <w:overflowPunct/>
        <w:topLinePunct w:val="0"/>
        <w:autoSpaceDE w:val="0"/>
        <w:autoSpaceDN w:val="0"/>
        <w:bidi w:val="0"/>
        <w:adjustRightInd w:val="0"/>
        <w:snapToGrid w:val="0"/>
        <w:spacing w:line="620" w:lineRule="exact"/>
        <w:ind w:firstLine="655" w:firstLineChars="200"/>
        <w:textAlignment w:val="auto"/>
        <w:rPr>
          <w:rFonts w:hint="eastAsia" w:ascii="黑体" w:hAnsi="黑体" w:eastAsia="黑体" w:cs="黑体"/>
          <w:b/>
          <w:spacing w:val="3"/>
          <w:sz w:val="32"/>
          <w:szCs w:val="32"/>
        </w:rPr>
      </w:pPr>
      <w:r>
        <w:rPr>
          <w:rFonts w:hint="eastAsia" w:ascii="黑体" w:hAnsi="黑体" w:eastAsia="黑体" w:cs="黑体"/>
          <w:b/>
          <w:spacing w:val="3"/>
          <w:sz w:val="32"/>
          <w:szCs w:val="32"/>
        </w:rPr>
        <w:t>一、2019年财务预算执行情况</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2019年在面临经济发展新常态、利率市场化全面放开以及金融监管要求不断加大等诸多因素的影响下，本行董事会积极应对经济金融形势的变化，认真执行股东代表大会的各项决议，紧紧围绕以经济效益为中心,抓改革、抓发展、抓管理、控风险，充分调动全体员工的工作积极性，努力实现各项预算目标。</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5" w:firstLineChars="200"/>
        <w:textAlignment w:val="auto"/>
        <w:rPr>
          <w:rFonts w:hint="eastAsia" w:ascii="楷体_GB2312" w:hAnsi="楷体_GB2312" w:eastAsia="楷体_GB2312" w:cs="楷体_GB2312"/>
          <w:b/>
          <w:bCs/>
          <w:spacing w:val="3"/>
          <w:sz w:val="32"/>
          <w:szCs w:val="32"/>
        </w:rPr>
      </w:pPr>
      <w:r>
        <w:rPr>
          <w:rFonts w:hint="eastAsia" w:ascii="楷体_GB2312" w:hAnsi="楷体_GB2312" w:eastAsia="楷体_GB2312" w:cs="楷体_GB2312"/>
          <w:b/>
          <w:bCs/>
          <w:spacing w:val="3"/>
          <w:sz w:val="32"/>
          <w:szCs w:val="32"/>
        </w:rPr>
        <w:t>1、财务收入情况</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2019年，全年财务收入总额160,413.76万元，比预算减少9,656.55万元。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（1）营业收入159,996.48万元，比预算减少9,573.83万元。其中：</w:t>
      </w:r>
      <w:r>
        <w:rPr>
          <w:rFonts w:hint="eastAsia" w:ascii="仿宋_GB2312" w:hAnsi="宋体" w:eastAsia="仿宋_GB2312" w:cs="宋体-18030"/>
          <w:b/>
          <w:bCs/>
          <w:spacing w:val="3"/>
          <w:sz w:val="32"/>
          <w:szCs w:val="32"/>
        </w:rPr>
        <w:t>利息收入</w:t>
      </w:r>
      <w:r>
        <w:rPr>
          <w:rFonts w:hint="eastAsia" w:ascii="仿宋_GB2312" w:hAnsi="宋体" w:eastAsia="仿宋_GB2312" w:cs="宋体-18030"/>
          <w:spacing w:val="3"/>
          <w:sz w:val="32"/>
          <w:szCs w:val="32"/>
        </w:rPr>
        <w:t>103,685.27万元，完成预算的91.74%，比预算少9,335.93万元，主要是由于宏观经济增速放缓，实体经济缺乏活力，导致市场需求疲软贷款日均投放增速未达预期，同时为了响应国家支持小微企业的政策号召，降低企业的融资成本，在激烈的市场竞争中稳定我行的市场份额，2019年在贷款利率方面作出了较大的让利，实体贷款综合收息率下降了51个BP，对全年的利息收入实现造成了不利影响；</w:t>
      </w:r>
      <w:r>
        <w:rPr>
          <w:rFonts w:hint="eastAsia" w:ascii="仿宋_GB2312" w:hAnsi="宋体" w:eastAsia="仿宋_GB2312" w:cs="宋体-18030"/>
          <w:b/>
          <w:bCs/>
          <w:spacing w:val="3"/>
          <w:sz w:val="32"/>
          <w:szCs w:val="32"/>
        </w:rPr>
        <w:t>金融机构往来收入</w:t>
      </w:r>
      <w:r>
        <w:rPr>
          <w:rFonts w:hint="eastAsia" w:ascii="仿宋_GB2312" w:hAnsi="宋体" w:eastAsia="仿宋_GB2312" w:cs="宋体-18030"/>
          <w:spacing w:val="3"/>
          <w:sz w:val="32"/>
          <w:szCs w:val="32"/>
        </w:rPr>
        <w:t>18,934.86万元，比预算少8,583.84万元，主要原因是投资结构的调整，减少了同业投资业务，同业资金业务规模同比大幅减少以及转贴收息率比同期下降的原因使得总体下降；</w:t>
      </w:r>
      <w:r>
        <w:rPr>
          <w:rFonts w:hint="eastAsia" w:ascii="仿宋_GB2312" w:hAnsi="宋体" w:eastAsia="仿宋_GB2312" w:cs="宋体-18030"/>
          <w:b/>
          <w:bCs/>
          <w:spacing w:val="3"/>
          <w:sz w:val="32"/>
          <w:szCs w:val="32"/>
        </w:rPr>
        <w:t>手续费及佣金收入</w:t>
      </w:r>
      <w:r>
        <w:rPr>
          <w:rFonts w:hint="eastAsia" w:ascii="仿宋_GB2312" w:hAnsi="宋体" w:eastAsia="仿宋_GB2312" w:cs="宋体-18030"/>
          <w:spacing w:val="3"/>
          <w:sz w:val="32"/>
          <w:szCs w:val="32"/>
        </w:rPr>
        <w:t>1,293.48万元，比预算多293.48万元，主要原因是结算业务、代理业务及其他手续费收入比同期增加；</w:t>
      </w:r>
      <w:r>
        <w:rPr>
          <w:rFonts w:hint="eastAsia" w:ascii="仿宋_GB2312" w:hAnsi="宋体" w:eastAsia="仿宋_GB2312" w:cs="宋体-18030"/>
          <w:b/>
          <w:bCs/>
          <w:spacing w:val="3"/>
          <w:sz w:val="32"/>
          <w:szCs w:val="32"/>
        </w:rPr>
        <w:t>其他业务收入</w:t>
      </w:r>
      <w:r>
        <w:rPr>
          <w:rFonts w:hint="eastAsia" w:ascii="仿宋_GB2312" w:hAnsi="宋体" w:eastAsia="仿宋_GB2312" w:cs="宋体-18030"/>
          <w:spacing w:val="3"/>
          <w:sz w:val="32"/>
          <w:szCs w:val="32"/>
        </w:rPr>
        <w:t>为630.88万元，比预算多130.88万元；</w:t>
      </w:r>
      <w:r>
        <w:rPr>
          <w:rFonts w:hint="eastAsia" w:ascii="仿宋_GB2312" w:hAnsi="宋体" w:eastAsia="仿宋_GB2312" w:cs="宋体-18030"/>
          <w:b/>
          <w:bCs/>
          <w:spacing w:val="3"/>
          <w:sz w:val="32"/>
          <w:szCs w:val="32"/>
        </w:rPr>
        <w:t>投资收益</w:t>
      </w:r>
      <w:r>
        <w:rPr>
          <w:rFonts w:hint="eastAsia" w:ascii="仿宋_GB2312" w:hAnsi="宋体" w:eastAsia="仿宋_GB2312" w:cs="宋体-18030"/>
          <w:spacing w:val="3"/>
          <w:sz w:val="32"/>
          <w:szCs w:val="32"/>
        </w:rPr>
        <w:t>35,163.47万元，比预算多7,633.06万元，主要是由于投资结构的调整，加大了债券投资的比重，同时利用短线交易赚钱利差的频率加大，债券利息收入和处置收益均有大幅增加。</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w:t>
      </w:r>
      <w:r>
        <w:rPr>
          <w:rFonts w:hint="eastAsia" w:ascii="仿宋_GB2312" w:hAnsi="宋体" w:eastAsia="仿宋_GB2312" w:cs="宋体-18030"/>
          <w:b/>
          <w:bCs/>
          <w:spacing w:val="3"/>
          <w:sz w:val="32"/>
          <w:szCs w:val="32"/>
        </w:rPr>
        <w:t>营业外收入</w:t>
      </w:r>
      <w:r>
        <w:rPr>
          <w:rFonts w:hint="eastAsia" w:ascii="仿宋_GB2312" w:hAnsi="宋体" w:eastAsia="仿宋_GB2312" w:cs="宋体-18030"/>
          <w:spacing w:val="3"/>
          <w:sz w:val="32"/>
          <w:szCs w:val="32"/>
        </w:rPr>
        <w:t>417.28万元，比预算少82.72</w:t>
      </w:r>
      <w:r>
        <w:rPr>
          <w:rFonts w:hint="eastAsia" w:ascii="仿宋_GB2312" w:hAnsi="宋体" w:eastAsia="仿宋_GB2312" w:cs="宋体-18030"/>
          <w:spacing w:val="3"/>
          <w:sz w:val="32"/>
          <w:szCs w:val="32"/>
          <w:lang w:eastAsia="zh-CN"/>
        </w:rPr>
        <w:t>万元</w:t>
      </w:r>
      <w:r>
        <w:rPr>
          <w:rFonts w:hint="eastAsia" w:ascii="仿宋_GB2312" w:hAnsi="宋体" w:eastAsia="仿宋_GB2312" w:cs="宋体-18030"/>
          <w:spacing w:val="3"/>
          <w:sz w:val="32"/>
          <w:szCs w:val="32"/>
        </w:rPr>
        <w:t>。</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5" w:firstLineChars="200"/>
        <w:textAlignment w:val="auto"/>
        <w:rPr>
          <w:rFonts w:hint="eastAsia" w:ascii="楷体_GB2312" w:hAnsi="楷体_GB2312" w:eastAsia="楷体_GB2312" w:cs="楷体_GB2312"/>
          <w:b/>
          <w:bCs/>
          <w:spacing w:val="3"/>
          <w:sz w:val="32"/>
          <w:szCs w:val="32"/>
        </w:rPr>
      </w:pPr>
      <w:r>
        <w:rPr>
          <w:rFonts w:hint="eastAsia" w:ascii="楷体_GB2312" w:hAnsi="楷体_GB2312" w:eastAsia="楷体_GB2312" w:cs="楷体_GB2312"/>
          <w:b/>
          <w:bCs/>
          <w:spacing w:val="3"/>
          <w:sz w:val="32"/>
          <w:szCs w:val="32"/>
        </w:rPr>
        <w:t>2、财务支出情况</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全年财务支出总额为126,648.95万元，较预算减少12,419.82万元，主要是由于拨备计提的减少。具体构成为：</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（1）</w:t>
      </w:r>
      <w:r>
        <w:rPr>
          <w:rFonts w:hint="eastAsia" w:ascii="仿宋_GB2312" w:hAnsi="宋体" w:eastAsia="仿宋_GB2312" w:cs="宋体-18030"/>
          <w:b/>
          <w:bCs/>
          <w:spacing w:val="3"/>
          <w:sz w:val="32"/>
          <w:szCs w:val="32"/>
        </w:rPr>
        <w:t>营业支出</w:t>
      </w:r>
      <w:r>
        <w:rPr>
          <w:rFonts w:hint="eastAsia" w:ascii="仿宋_GB2312" w:hAnsi="宋体" w:eastAsia="仿宋_GB2312" w:cs="宋体-18030"/>
          <w:spacing w:val="3"/>
          <w:sz w:val="32"/>
          <w:szCs w:val="32"/>
        </w:rPr>
        <w:t>126,208.71万元，比预算减少12,233.67万元。其中：</w:t>
      </w:r>
      <w:r>
        <w:rPr>
          <w:rFonts w:hint="eastAsia" w:ascii="仿宋_GB2312" w:hAnsi="宋体" w:eastAsia="仿宋_GB2312" w:cs="宋体-18030"/>
          <w:b/>
          <w:bCs/>
          <w:spacing w:val="3"/>
          <w:sz w:val="32"/>
          <w:szCs w:val="32"/>
        </w:rPr>
        <w:t>利息支出</w:t>
      </w:r>
      <w:r>
        <w:rPr>
          <w:rFonts w:hint="eastAsia" w:ascii="仿宋_GB2312" w:hAnsi="宋体" w:eastAsia="仿宋_GB2312" w:cs="宋体-18030"/>
          <w:spacing w:val="3"/>
          <w:sz w:val="32"/>
          <w:szCs w:val="32"/>
        </w:rPr>
        <w:t>为65,454.04万元，比预算少支出2,844.28万元，主要原因是高付息的保本理财规模下降幅度较大，存款日均规模未达年初预算数，导致对应利息支出减少；</w:t>
      </w:r>
      <w:r>
        <w:rPr>
          <w:rFonts w:hint="eastAsia" w:ascii="仿宋_GB2312" w:hAnsi="宋体" w:eastAsia="仿宋_GB2312" w:cs="宋体-18030"/>
          <w:b/>
          <w:bCs/>
          <w:spacing w:val="3"/>
          <w:sz w:val="32"/>
          <w:szCs w:val="32"/>
        </w:rPr>
        <w:t>金融机构往来支出</w:t>
      </w:r>
      <w:r>
        <w:rPr>
          <w:rFonts w:hint="eastAsia" w:ascii="仿宋_GB2312" w:hAnsi="宋体" w:eastAsia="仿宋_GB2312" w:cs="宋体-18030"/>
          <w:spacing w:val="3"/>
          <w:sz w:val="32"/>
          <w:szCs w:val="32"/>
        </w:rPr>
        <w:t>8,026.67万元，比预算增加2,612.21万元，主要是为了做大业务规模，增加金融投资的收益，在政策范围内充分运用了杠杆，卖出回购金融资产利息支出相对增加较大；</w:t>
      </w:r>
      <w:r>
        <w:rPr>
          <w:rFonts w:hint="eastAsia" w:ascii="仿宋_GB2312" w:hAnsi="宋体" w:eastAsia="仿宋_GB2312" w:cs="宋体-18030"/>
          <w:b/>
          <w:bCs/>
          <w:spacing w:val="3"/>
          <w:sz w:val="32"/>
          <w:szCs w:val="32"/>
        </w:rPr>
        <w:t>手续费及佣金支出</w:t>
      </w:r>
      <w:r>
        <w:rPr>
          <w:rFonts w:hint="eastAsia" w:ascii="仿宋_GB2312" w:hAnsi="宋体" w:eastAsia="仿宋_GB2312" w:cs="宋体-18030"/>
          <w:spacing w:val="3"/>
          <w:sz w:val="32"/>
          <w:szCs w:val="32"/>
        </w:rPr>
        <w:t>981.2万元，比预算增加281.2万元；</w:t>
      </w:r>
      <w:r>
        <w:rPr>
          <w:rFonts w:hint="eastAsia" w:ascii="仿宋_GB2312" w:hAnsi="宋体" w:eastAsia="仿宋_GB2312" w:cs="宋体-18030"/>
          <w:b/>
          <w:bCs/>
          <w:spacing w:val="3"/>
          <w:sz w:val="32"/>
          <w:szCs w:val="32"/>
        </w:rPr>
        <w:t>业务及管理费</w:t>
      </w:r>
      <w:r>
        <w:rPr>
          <w:rFonts w:hint="eastAsia" w:ascii="仿宋_GB2312" w:hAnsi="宋体" w:eastAsia="仿宋_GB2312" w:cs="宋体-18030"/>
          <w:spacing w:val="3"/>
          <w:sz w:val="32"/>
          <w:szCs w:val="32"/>
        </w:rPr>
        <w:t>38,250.40万元，比预算少支出928.28万元，主要是加强了成本支出的控制，在咨询费、水电费、电子设备运转费等方面减少了费用支出。</w:t>
      </w:r>
      <w:r>
        <w:rPr>
          <w:rFonts w:hint="eastAsia" w:ascii="仿宋_GB2312" w:hAnsi="宋体" w:eastAsia="仿宋_GB2312" w:cs="宋体-18030"/>
          <w:b/>
          <w:bCs/>
          <w:spacing w:val="3"/>
          <w:sz w:val="32"/>
          <w:szCs w:val="32"/>
        </w:rPr>
        <w:t>其他业务支出</w:t>
      </w:r>
      <w:r>
        <w:rPr>
          <w:rFonts w:hint="eastAsia" w:ascii="仿宋_GB2312" w:hAnsi="宋体" w:eastAsia="仿宋_GB2312" w:cs="宋体-18030"/>
          <w:spacing w:val="3"/>
          <w:sz w:val="32"/>
          <w:szCs w:val="32"/>
        </w:rPr>
        <w:t>为37.45万元，比预算少支出5.17万元；</w:t>
      </w:r>
      <w:r>
        <w:rPr>
          <w:rFonts w:hint="eastAsia" w:ascii="仿宋_GB2312" w:hAnsi="宋体" w:eastAsia="仿宋_GB2312" w:cs="宋体-18030"/>
          <w:b/>
          <w:bCs/>
          <w:spacing w:val="3"/>
          <w:sz w:val="32"/>
          <w:szCs w:val="32"/>
        </w:rPr>
        <w:t>税金及附加</w:t>
      </w:r>
      <w:r>
        <w:rPr>
          <w:rFonts w:hint="eastAsia" w:ascii="仿宋_GB2312" w:hAnsi="宋体" w:eastAsia="仿宋_GB2312" w:cs="宋体-18030"/>
          <w:spacing w:val="3"/>
          <w:sz w:val="32"/>
          <w:szCs w:val="32"/>
        </w:rPr>
        <w:t>为852.59万元，比预算多44.28万元；</w:t>
      </w:r>
      <w:r>
        <w:rPr>
          <w:rFonts w:hint="eastAsia" w:ascii="仿宋_GB2312" w:hAnsi="宋体" w:eastAsia="仿宋_GB2312" w:cs="宋体-18030"/>
          <w:b/>
          <w:bCs/>
          <w:spacing w:val="3"/>
          <w:sz w:val="32"/>
          <w:szCs w:val="32"/>
        </w:rPr>
        <w:t>计提资产减值损失准备金</w:t>
      </w:r>
      <w:r>
        <w:rPr>
          <w:rFonts w:hint="eastAsia" w:ascii="仿宋_GB2312" w:hAnsi="宋体" w:eastAsia="仿宋_GB2312" w:cs="宋体-18030"/>
          <w:spacing w:val="3"/>
          <w:sz w:val="32"/>
          <w:szCs w:val="32"/>
        </w:rPr>
        <w:t>为12,606.36万元，比预算减少11,393.64万元，主要是今年贷款质量有所提高，核销贷款相比同期大幅减少，另外部分核销贷款收回，导致当期资产减值损失同期明显下降。</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w:t>
      </w:r>
      <w:r>
        <w:rPr>
          <w:rFonts w:hint="eastAsia" w:ascii="仿宋_GB2312" w:hAnsi="宋体" w:eastAsia="仿宋_GB2312" w:cs="宋体-18030"/>
          <w:b/>
          <w:bCs/>
          <w:spacing w:val="3"/>
          <w:sz w:val="32"/>
          <w:szCs w:val="32"/>
        </w:rPr>
        <w:t>营业外支出</w:t>
      </w:r>
      <w:r>
        <w:rPr>
          <w:rFonts w:hint="eastAsia" w:ascii="仿宋_GB2312" w:hAnsi="宋体" w:eastAsia="仿宋_GB2312" w:cs="宋体-18030"/>
          <w:spacing w:val="3"/>
          <w:sz w:val="32"/>
          <w:szCs w:val="32"/>
        </w:rPr>
        <w:t>440.24万元，比预算少186.15万元。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5" w:firstLineChars="200"/>
        <w:textAlignment w:val="auto"/>
        <w:rPr>
          <w:rFonts w:hint="eastAsia" w:ascii="楷体_GB2312" w:hAnsi="楷体_GB2312" w:eastAsia="楷体_GB2312" w:cs="楷体_GB2312"/>
          <w:b/>
          <w:bCs/>
          <w:spacing w:val="3"/>
          <w:sz w:val="32"/>
          <w:szCs w:val="32"/>
        </w:rPr>
      </w:pPr>
      <w:r>
        <w:rPr>
          <w:rFonts w:hint="eastAsia" w:ascii="楷体_GB2312" w:hAnsi="楷体_GB2312" w:eastAsia="楷体_GB2312" w:cs="楷体_GB2312"/>
          <w:b/>
          <w:bCs/>
          <w:spacing w:val="3"/>
          <w:sz w:val="32"/>
          <w:szCs w:val="32"/>
        </w:rPr>
        <w:t>3、利润情况</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2019年实现利润总额33,758.13万元，比预算增加2,756.60万元，在营业收入未能完成全年预算的情况下，利润还能保持一定的增长，主要是由于信贷资产质量有所提高，2019年全年计提的资产减值损失相比预算减少了11,393.64万元，同时加大了核销贷款的清收力度，全年共现金收回已核销贷款8,692.52万元 。</w:t>
      </w:r>
    </w:p>
    <w:p>
      <w:pPr>
        <w:keepNext w:val="0"/>
        <w:keepLines w:val="0"/>
        <w:pageBreakBefore w:val="0"/>
        <w:widowControl w:val="0"/>
        <w:tabs>
          <w:tab w:val="left" w:pos="542"/>
        </w:tabs>
        <w:kinsoku/>
        <w:wordWrap/>
        <w:overflowPunct/>
        <w:topLinePunct w:val="0"/>
        <w:autoSpaceDE w:val="0"/>
        <w:autoSpaceDN w:val="0"/>
        <w:bidi w:val="0"/>
        <w:adjustRightInd w:val="0"/>
        <w:snapToGrid w:val="0"/>
        <w:spacing w:line="620" w:lineRule="exact"/>
        <w:ind w:firstLine="655" w:firstLineChars="200"/>
        <w:textAlignment w:val="auto"/>
        <w:rPr>
          <w:rFonts w:hint="eastAsia" w:ascii="黑体" w:hAnsi="黑体" w:eastAsia="黑体" w:cs="黑体"/>
          <w:b/>
          <w:spacing w:val="3"/>
          <w:sz w:val="32"/>
          <w:szCs w:val="32"/>
        </w:rPr>
      </w:pPr>
      <w:r>
        <w:rPr>
          <w:rFonts w:hint="eastAsia" w:ascii="黑体" w:hAnsi="黑体" w:eastAsia="黑体" w:cs="黑体"/>
          <w:b/>
          <w:spacing w:val="3"/>
          <w:sz w:val="32"/>
          <w:szCs w:val="32"/>
        </w:rPr>
        <w:t>二、2020年度财务收支预算</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2020年，随着LPR的全面实施，利率市场化进程进一步加深，结合国内外经济现状，预计利率下行成大概率事件，存贷利差空间将会进一步收窄。本行将结合监管要求，以合规体系建设为契机，以风险控制为前提，坚持稳健经营，以经营效益为中心，努力增收节支，加强财务精细化核算，提高经营效益。</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2020年，预计本行全年实现财务收入总额为166,500万元，财务支出总额为136,400万元，利润总额为30,100万元。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5" w:firstLineChars="200"/>
        <w:textAlignment w:val="auto"/>
        <w:rPr>
          <w:rFonts w:hint="eastAsia" w:ascii="楷体_GB2312" w:hAnsi="楷体_GB2312" w:eastAsia="楷体_GB2312" w:cs="楷体_GB2312"/>
          <w:b/>
          <w:bCs/>
          <w:spacing w:val="3"/>
          <w:sz w:val="32"/>
          <w:szCs w:val="32"/>
        </w:rPr>
      </w:pPr>
      <w:r>
        <w:rPr>
          <w:rFonts w:hint="eastAsia" w:ascii="楷体_GB2312" w:hAnsi="楷体_GB2312" w:eastAsia="楷体_GB2312" w:cs="楷体_GB2312"/>
          <w:b/>
          <w:bCs/>
          <w:spacing w:val="3"/>
          <w:sz w:val="32"/>
          <w:szCs w:val="32"/>
        </w:rPr>
        <w:t>1、财务收入的基本构成是营业收入166,000.00万元，营业外收入500.00万元。营业收入中：</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（1）利息收入111,000.00万元，其中：存量利息收入为101,700.00万元，增量利息收入为9,300.00万元。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（2）金融机构往来收入16,800.00万元，主要是存放同业利息收入、存放央行、省联社利息收入和转贴现利息收入。</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（3）手续费收入1,200.00万元，主要是结算手续费、代理保险评估手续费、理财产品手续费等。</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（4）其他业务收入800.00万元，主要是投资性房地产和抵债资产租金收入。</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（5）投资收益35,900.00万元，主要是债券投资利息、同业存单投资利息、同业理财投资利息和联合投资利息收入。</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（6）汇兑损益300.00万元,主要是外汇汇兑损益。</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5" w:firstLineChars="200"/>
        <w:textAlignment w:val="auto"/>
        <w:rPr>
          <w:rFonts w:hint="eastAsia" w:ascii="楷体_GB2312" w:hAnsi="楷体_GB2312" w:eastAsia="楷体_GB2312" w:cs="楷体_GB2312"/>
          <w:b/>
          <w:bCs/>
          <w:spacing w:val="3"/>
          <w:sz w:val="32"/>
          <w:szCs w:val="32"/>
        </w:rPr>
      </w:pPr>
      <w:r>
        <w:rPr>
          <w:rFonts w:hint="eastAsia" w:ascii="楷体_GB2312" w:hAnsi="楷体_GB2312" w:eastAsia="楷体_GB2312" w:cs="楷体_GB2312"/>
          <w:b/>
          <w:bCs/>
          <w:spacing w:val="3"/>
          <w:sz w:val="32"/>
          <w:szCs w:val="32"/>
        </w:rPr>
        <w:t>2、财务总支出139,000.00万元，基本构成是：</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（1）营业支出135,700.00万元。其中：</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①利息支出72,300.00万元，其中：存量存款利息支出为64,080.00万元；增量存款利息支出为8,220万元。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②金融机构往来支出5,000.00万元，主要是同业存放利息支出及转贴现利息支出。</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③手续费支出1,500.00万元，主要是电子银行产品手续费支出和结算业务手续费支出等。</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④业务及管理费用42,800.00万元。其中职工工资支出14,700.00万元、固定资产折旧费4,600.00万元,业务宣传费2,550.00万元。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⑤其他业务支出100.00万元，主要是抵债资产保管费用和投资性房地产折旧支出。</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⑥营业税金及附加1,000.00万元。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⑦资产减值损失计提13,000.00万元。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（2）营业外支出700.00万元。</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5" w:firstLineChars="200"/>
        <w:textAlignment w:val="auto"/>
        <w:rPr>
          <w:rFonts w:hint="eastAsia" w:ascii="楷体_GB2312" w:hAnsi="楷体_GB2312" w:eastAsia="楷体_GB2312" w:cs="楷体_GB2312"/>
          <w:b/>
          <w:bCs/>
          <w:spacing w:val="3"/>
          <w:sz w:val="32"/>
          <w:szCs w:val="32"/>
        </w:rPr>
      </w:pPr>
      <w:r>
        <w:rPr>
          <w:rFonts w:hint="eastAsia" w:ascii="楷体_GB2312" w:hAnsi="楷体_GB2312" w:eastAsia="楷体_GB2312" w:cs="楷体_GB2312"/>
          <w:b/>
          <w:bCs/>
          <w:spacing w:val="3"/>
          <w:sz w:val="32"/>
          <w:szCs w:val="32"/>
        </w:rPr>
        <w:t>3、利润总额30,100.00万元。</w:t>
      </w:r>
    </w:p>
    <w:p>
      <w:pPr>
        <w:keepNext w:val="0"/>
        <w:keepLines w:val="0"/>
        <w:pageBreakBefore w:val="0"/>
        <w:widowControl w:val="0"/>
        <w:tabs>
          <w:tab w:val="left" w:pos="542"/>
        </w:tabs>
        <w:kinsoku/>
        <w:wordWrap/>
        <w:overflowPunct/>
        <w:topLinePunct w:val="0"/>
        <w:autoSpaceDE w:val="0"/>
        <w:autoSpaceDN w:val="0"/>
        <w:bidi w:val="0"/>
        <w:adjustRightInd w:val="0"/>
        <w:snapToGrid w:val="0"/>
        <w:spacing w:line="620" w:lineRule="exact"/>
        <w:ind w:firstLine="655" w:firstLineChars="200"/>
        <w:textAlignment w:val="auto"/>
        <w:rPr>
          <w:rFonts w:hint="eastAsia" w:ascii="黑体" w:hAnsi="黑体" w:eastAsia="黑体" w:cs="黑体"/>
          <w:b/>
          <w:spacing w:val="3"/>
          <w:sz w:val="32"/>
          <w:szCs w:val="32"/>
        </w:rPr>
      </w:pPr>
      <w:r>
        <w:rPr>
          <w:rFonts w:hint="eastAsia" w:ascii="黑体" w:hAnsi="黑体" w:eastAsia="黑体" w:cs="黑体"/>
          <w:b/>
          <w:spacing w:val="3"/>
          <w:sz w:val="32"/>
          <w:szCs w:val="32"/>
        </w:rPr>
        <w:t>三、2020年面对竞争激烈的金融市场，本行将提升发展质量、提升服务形象，努力实现2020年的预算目标，拟采取以下措施：</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1、加大低付息存款的组织力度，努力调整存款结构，切实降低付息成本，提高盈利能力。</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 xml:space="preserve">2、在严防信贷风险的前提下，积极向零售银行转型，重点做好普惠金融、阳光信贷、线上贷款等工作，实现增点扩面,扩大收入来源。 </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3、努力提高盈利水平，建立持续资本补充机制。用好用活资金，加大资金营运力度,实现资金效益的最大化。注重中间业务的创新，大力拓展手机银行、网上银行、国际业务、理财产品以及各项代理业务，增加中间业务收入。</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4、以风险控制为前提，严格控制新增不良贷款，全力清收和化解往年不良贷款。</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5、加强财务管理，合理控制各项费用支出，努力做到增收节支。</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6、提高文明服务精细化程度，改善服务手段，提升服务水平和效率。</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7、改善信息管理系统，提高科技管理水平，以此促进各项业务的发展。</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各位董事，我们将以零售转型为契机、以数字化转型为抓手，响应政策号召，积极做小做散，立足地方，服务实体经济，紧紧围绕既定的目标，突出重点，稳中求进，真抓实干，开拓创新，确保完成2020年财务收支预算计划，为扬州农村商业银行的稳步发展做出积极有益的贡献。</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以上议案，请予审议。</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jc w:val="right"/>
        <w:textAlignment w:val="auto"/>
        <w:rPr>
          <w:rFonts w:hint="default" w:ascii="仿宋_GB2312" w:hAnsi="宋体" w:eastAsia="仿宋_GB2312" w:cs="宋体-18030"/>
          <w:spacing w:val="3"/>
          <w:sz w:val="32"/>
          <w:szCs w:val="32"/>
          <w:lang w:val="en-US" w:eastAsia="zh-CN"/>
        </w:rPr>
      </w:pPr>
      <w:r>
        <w:rPr>
          <w:rFonts w:hint="eastAsia" w:ascii="仿宋_GB2312" w:hAnsi="宋体" w:eastAsia="仿宋_GB2312" w:cs="宋体-18030"/>
          <w:spacing w:val="3"/>
          <w:sz w:val="32"/>
          <w:szCs w:val="32"/>
          <w:lang w:val="en-US" w:eastAsia="zh-CN"/>
        </w:rPr>
        <w:t>2020年4月28</w:t>
      </w:r>
      <w:bookmarkStart w:id="0" w:name="_GoBack"/>
      <w:bookmarkEnd w:id="0"/>
      <w:r>
        <w:rPr>
          <w:rFonts w:hint="eastAsia" w:ascii="仿宋_GB2312" w:hAnsi="宋体" w:eastAsia="仿宋_GB2312" w:cs="宋体-18030"/>
          <w:spacing w:val="3"/>
          <w:sz w:val="32"/>
          <w:szCs w:val="32"/>
          <w:lang w:val="en-US" w:eastAsia="zh-CN"/>
        </w:rPr>
        <w:t>日</w:t>
      </w:r>
    </w:p>
    <w:p>
      <w:pPr>
        <w:keepNext w:val="0"/>
        <w:keepLines w:val="0"/>
        <w:pageBreakBefore w:val="0"/>
        <w:widowControl w:val="0"/>
        <w:kinsoku/>
        <w:wordWrap/>
        <w:overflowPunct/>
        <w:topLinePunct w:val="0"/>
        <w:autoSpaceDE w:val="0"/>
        <w:autoSpaceDN w:val="0"/>
        <w:bidi w:val="0"/>
        <w:adjustRightInd w:val="0"/>
        <w:snapToGrid w:val="0"/>
        <w:spacing w:line="620" w:lineRule="exact"/>
        <w:ind w:firstLine="652" w:firstLineChars="200"/>
        <w:textAlignment w:val="auto"/>
        <w:rPr>
          <w:rFonts w:hint="eastAsia" w:ascii="仿宋_GB2312" w:hAnsi="宋体" w:eastAsia="仿宋_GB2312" w:cs="宋体-18030"/>
          <w:spacing w:val="3"/>
          <w:sz w:val="32"/>
          <w:szCs w:val="32"/>
        </w:rPr>
      </w:pPr>
      <w:r>
        <w:rPr>
          <w:rFonts w:hint="eastAsia" w:ascii="仿宋_GB2312" w:hAnsi="宋体" w:eastAsia="仿宋_GB2312" w:cs="宋体-18030"/>
          <w:spacing w:val="3"/>
          <w:sz w:val="32"/>
          <w:szCs w:val="32"/>
        </w:rPr>
        <w:t xml:space="preserve">                                    </w:t>
      </w:r>
    </w:p>
    <w:p>
      <w:pPr>
        <w:keepNext w:val="0"/>
        <w:keepLines w:val="0"/>
        <w:pageBreakBefore w:val="0"/>
        <w:widowControl w:val="0"/>
        <w:kinsoku/>
        <w:wordWrap/>
        <w:overflowPunct/>
        <w:topLinePunct w:val="0"/>
        <w:bidi w:val="0"/>
        <w:spacing w:line="620" w:lineRule="exact"/>
        <w:textAlignment w:val="auto"/>
      </w:pPr>
    </w:p>
    <w:sectPr>
      <w:headerReference r:id="rId5" w:type="first"/>
      <w:footerReference r:id="rId8" w:type="first"/>
      <w:headerReference r:id="rId3" w:type="default"/>
      <w:footerReference r:id="rId6" w:type="default"/>
      <w:headerReference r:id="rId4" w:type="even"/>
      <w:footerReference r:id="rId7" w:type="even"/>
      <w:pgSz w:w="11905" w:h="16838" w:orient="landscape"/>
      <w:pgMar w:top="1701" w:right="1701" w:bottom="1701"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宋体-18030">
    <w:altName w:val="Arial Unicode MS"/>
    <w:panose1 w:val="00000000000000000000"/>
    <w:charset w:val="86"/>
    <w:family w:val="modern"/>
    <w:pitch w:val="default"/>
    <w:sig w:usb0="00000000" w:usb1="00000000" w:usb2="0000001E" w:usb3="00000000" w:csb0="003C0041"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rPr>
    </w:pPr>
    <w:r>
      <w:rPr>
        <w:sz w:val="24"/>
        <w:szCs w:val="24"/>
      </w:rPr>
      <w:t xml:space="preserve">- </w:t>
    </w:r>
    <w:r>
      <w:rPr>
        <w:sz w:val="24"/>
        <w:szCs w:val="24"/>
      </w:rPr>
      <w:fldChar w:fldCharType="begin"/>
    </w:r>
    <w:r>
      <w:rPr>
        <w:sz w:val="24"/>
        <w:szCs w:val="24"/>
      </w:rPr>
      <w:instrText xml:space="preserve"> PAGE </w:instrText>
    </w:r>
    <w:r>
      <w:rPr>
        <w:sz w:val="24"/>
        <w:szCs w:val="24"/>
      </w:rPr>
      <w:fldChar w:fldCharType="separate"/>
    </w:r>
    <w:r>
      <w:rPr>
        <w:sz w:val="24"/>
        <w:szCs w:val="24"/>
      </w:rPr>
      <w:t>3</w:t>
    </w:r>
    <w:r>
      <w:rPr>
        <w:sz w:val="24"/>
        <w:szCs w:val="24"/>
      </w:rPr>
      <w:fldChar w:fldCharType="end"/>
    </w:r>
    <w:r>
      <w:rPr>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bookFoldPrinting w:val="1"/>
  <w:bookFoldPrintingSheets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6495"/>
    <w:rsid w:val="00060DCC"/>
    <w:rsid w:val="000B3991"/>
    <w:rsid w:val="00174812"/>
    <w:rsid w:val="00177019"/>
    <w:rsid w:val="001C4D0C"/>
    <w:rsid w:val="002106F9"/>
    <w:rsid w:val="002B4E10"/>
    <w:rsid w:val="002F4A6F"/>
    <w:rsid w:val="0038384B"/>
    <w:rsid w:val="00457DB7"/>
    <w:rsid w:val="0048196B"/>
    <w:rsid w:val="004A7593"/>
    <w:rsid w:val="004E46E2"/>
    <w:rsid w:val="004E7745"/>
    <w:rsid w:val="006414FA"/>
    <w:rsid w:val="006518F3"/>
    <w:rsid w:val="00694C17"/>
    <w:rsid w:val="00696395"/>
    <w:rsid w:val="00775E91"/>
    <w:rsid w:val="007F3243"/>
    <w:rsid w:val="008A017F"/>
    <w:rsid w:val="008E0A66"/>
    <w:rsid w:val="00907DFF"/>
    <w:rsid w:val="00922671"/>
    <w:rsid w:val="009706C4"/>
    <w:rsid w:val="00971825"/>
    <w:rsid w:val="00993FE7"/>
    <w:rsid w:val="00AE2015"/>
    <w:rsid w:val="00B42684"/>
    <w:rsid w:val="00B62A72"/>
    <w:rsid w:val="00B70E21"/>
    <w:rsid w:val="00BF127B"/>
    <w:rsid w:val="00C04BC5"/>
    <w:rsid w:val="00C17BF4"/>
    <w:rsid w:val="00C65EE7"/>
    <w:rsid w:val="00CC2488"/>
    <w:rsid w:val="00D752C8"/>
    <w:rsid w:val="00DD4DF2"/>
    <w:rsid w:val="00DF6495"/>
    <w:rsid w:val="00E279BA"/>
    <w:rsid w:val="00EB2477"/>
    <w:rsid w:val="072B5D84"/>
    <w:rsid w:val="14331F3D"/>
    <w:rsid w:val="202C04D2"/>
    <w:rsid w:val="2E430322"/>
    <w:rsid w:val="3B1646EF"/>
    <w:rsid w:val="3D0F65F6"/>
    <w:rsid w:val="504265A6"/>
    <w:rsid w:val="52085D8E"/>
    <w:rsid w:val="613A652B"/>
    <w:rsid w:val="667E213D"/>
    <w:rsid w:val="6B6A3505"/>
    <w:rsid w:val="7C0E5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0"/>
    <w:rPr>
      <w:sz w:val="18"/>
      <w:szCs w:val="18"/>
    </w:rPr>
  </w:style>
  <w:style w:type="paragraph" w:customStyle="1" w:styleId="9">
    <w:name w:val="文章附标题"/>
    <w:basedOn w:val="1"/>
    <w:qFormat/>
    <w:uiPriority w:val="0"/>
    <w:pPr>
      <w:spacing w:before="104" w:after="104" w:line="0" w:lineRule="atLeast"/>
      <w:jc w:val="center"/>
    </w:pPr>
    <w:rPr>
      <w:kern w:val="0"/>
      <w:sz w:val="36"/>
      <w:szCs w:val="20"/>
    </w:r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463</Words>
  <Characters>2643</Characters>
  <Lines>22</Lines>
  <Paragraphs>6</Paragraphs>
  <TotalTime>1</TotalTime>
  <ScaleCrop>false</ScaleCrop>
  <LinksUpToDate>false</LinksUpToDate>
  <CharactersWithSpaces>3100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2020-03-26T02:36:00Z</dcterms:created>
  <dc:creator>潘瑾</dc:creator>
  <cp:lastModifiedBy>Administrator</cp:lastModifiedBy>
  <cp:lastPrinted>2020-04-07T02:21:00Z</cp:lastPrinted>
  <dcterms:modified xsi:type="dcterms:W3CDTF">2020-04-13T08:03:21Z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