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2E2" w:rsidRDefault="00F33AFD">
      <w:pPr>
        <w:pStyle w:val="a6"/>
        <w:spacing w:before="68" w:beforeAutospacing="0" w:after="68" w:afterAutospacing="0" w:line="503" w:lineRule="atLeast"/>
        <w:jc w:val="center"/>
        <w:rPr>
          <w:rFonts w:ascii="Arial" w:hAnsi="Arial" w:cs="Arial"/>
          <w:color w:val="000000"/>
          <w:sz w:val="22"/>
          <w:szCs w:val="22"/>
        </w:rPr>
      </w:pPr>
      <w:r>
        <w:rPr>
          <w:rFonts w:ascii="方正小标宋简体" w:eastAsia="方正小标宋简体" w:hAnsi="Arial" w:cs="Arial" w:hint="eastAsia"/>
          <w:color w:val="000000"/>
          <w:sz w:val="39"/>
          <w:szCs w:val="39"/>
        </w:rPr>
        <w:t>江苏扬州农村商业银行股份有限公司</w:t>
      </w:r>
    </w:p>
    <w:p w:rsidR="001732E2" w:rsidRDefault="00F33AFD">
      <w:pPr>
        <w:pStyle w:val="a6"/>
        <w:spacing w:before="68" w:beforeAutospacing="0" w:after="68" w:afterAutospacing="0" w:line="503" w:lineRule="atLeast"/>
        <w:jc w:val="center"/>
        <w:rPr>
          <w:rFonts w:ascii="Arial" w:hAnsi="Arial" w:cs="Arial"/>
          <w:color w:val="000000"/>
          <w:sz w:val="22"/>
          <w:szCs w:val="22"/>
        </w:rPr>
      </w:pPr>
      <w:r>
        <w:rPr>
          <w:rFonts w:ascii="方正小标宋简体" w:eastAsia="方正小标宋简体" w:hAnsi="Arial" w:cs="Arial" w:hint="eastAsia"/>
          <w:color w:val="000000"/>
          <w:sz w:val="39"/>
          <w:szCs w:val="39"/>
        </w:rPr>
        <w:t>董事会议事规则</w:t>
      </w:r>
    </w:p>
    <w:p w:rsidR="001732E2" w:rsidRDefault="00F33AFD">
      <w:pPr>
        <w:pStyle w:val="a6"/>
        <w:spacing w:before="136" w:beforeAutospacing="0" w:after="136" w:afterAutospacing="0" w:line="503" w:lineRule="atLeast"/>
        <w:jc w:val="center"/>
        <w:rPr>
          <w:rFonts w:ascii="Arial" w:hAnsi="Arial" w:cs="Arial"/>
          <w:color w:val="000000"/>
          <w:sz w:val="22"/>
          <w:szCs w:val="22"/>
        </w:rPr>
      </w:pPr>
      <w:r>
        <w:rPr>
          <w:rFonts w:ascii="黑体" w:eastAsia="黑体" w:hAnsi="Arial" w:cs="Arial" w:hint="eastAsia"/>
          <w:color w:val="000000"/>
          <w:sz w:val="29"/>
          <w:szCs w:val="29"/>
        </w:rPr>
        <w:t>第一章  总  则</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第一条</w:t>
      </w:r>
      <w:r>
        <w:rPr>
          <w:rFonts w:ascii="仿宋_GB2312" w:eastAsia="仿宋_GB2312" w:hAnsi="Arial" w:cs="Arial" w:hint="eastAsia"/>
          <w:color w:val="000000"/>
          <w:sz w:val="29"/>
          <w:szCs w:val="29"/>
        </w:rPr>
        <w:t xml:space="preserve">  江苏扬州农村商业银行股份有限公司（以下简称“本行”）为保障董事会依法独立、规范、有效地行使职权，以确保董事会的工作效率和科学决策，根据《中华人民共和国公司法》、《中华人民共和国商业银行法》、</w:t>
      </w:r>
      <w:r w:rsidRPr="00792700">
        <w:rPr>
          <w:rFonts w:ascii="仿宋_GB2312" w:eastAsia="仿宋_GB2312" w:hint="eastAsia"/>
          <w:sz w:val="30"/>
          <w:szCs w:val="30"/>
          <w:highlight w:val="yellow"/>
        </w:rPr>
        <w:t>《银行保险机构公司治理准则》</w:t>
      </w:r>
      <w:r>
        <w:rPr>
          <w:rFonts w:ascii="仿宋_GB2312" w:eastAsia="仿宋_GB2312" w:hAnsi="Arial" w:cs="Arial" w:hint="eastAsia"/>
          <w:color w:val="000000"/>
          <w:sz w:val="29"/>
          <w:szCs w:val="29"/>
        </w:rPr>
        <w:t>等法律、法规以及《江苏扬州农村商业银行股份有限公司章程》（以下简称《章程》）的规定，结合实际情况，制定本议事规则。</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第二条</w:t>
      </w:r>
      <w:r w:rsidR="00804BE0">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董事会是本行股东大会的执行机构和本行的经营决策机构，对股东大会负责。董事会遵照国家有关法律法规、规范性文件和《章程》的规定，履行职责。</w:t>
      </w:r>
    </w:p>
    <w:p w:rsidR="001732E2" w:rsidRDefault="00F33AFD">
      <w:pPr>
        <w:pStyle w:val="a6"/>
        <w:spacing w:before="136" w:beforeAutospacing="0" w:after="136" w:afterAutospacing="0" w:line="503" w:lineRule="atLeast"/>
        <w:jc w:val="center"/>
        <w:rPr>
          <w:rFonts w:ascii="Arial" w:hAnsi="Arial" w:cs="Arial"/>
          <w:color w:val="000000"/>
          <w:sz w:val="22"/>
          <w:szCs w:val="22"/>
        </w:rPr>
      </w:pPr>
      <w:r>
        <w:rPr>
          <w:rFonts w:ascii="黑体" w:eastAsia="黑体" w:hAnsi="Arial" w:cs="Arial" w:hint="eastAsia"/>
          <w:color w:val="000000"/>
          <w:sz w:val="29"/>
          <w:szCs w:val="29"/>
        </w:rPr>
        <w:t>第二章  董事会的构成、职权和履职方式</w:t>
      </w:r>
    </w:p>
    <w:p w:rsidR="001732E2" w:rsidRPr="00804BE0" w:rsidRDefault="00F33AFD" w:rsidP="00804BE0">
      <w:pPr>
        <w:pStyle w:val="a6"/>
        <w:spacing w:before="68" w:beforeAutospacing="0" w:after="68" w:afterAutospacing="0" w:line="503" w:lineRule="atLeast"/>
        <w:ind w:firstLine="584"/>
        <w:rPr>
          <w:rFonts w:ascii="Arial" w:hAnsi="Arial" w:cs="Arial"/>
          <w:color w:val="000000"/>
          <w:sz w:val="22"/>
          <w:szCs w:val="22"/>
        </w:rPr>
      </w:pPr>
      <w:r w:rsidRPr="00792700">
        <w:rPr>
          <w:rStyle w:val="a7"/>
          <w:rFonts w:ascii="仿宋_GB2312" w:eastAsia="仿宋_GB2312" w:hAnsi="Arial" w:cs="Arial" w:hint="eastAsia"/>
          <w:color w:val="000000"/>
          <w:sz w:val="29"/>
          <w:szCs w:val="29"/>
        </w:rPr>
        <w:t>第三条</w:t>
      </w:r>
      <w:r w:rsidR="00804BE0">
        <w:rPr>
          <w:rStyle w:val="a7"/>
          <w:rFonts w:ascii="仿宋_GB2312" w:eastAsia="仿宋_GB2312" w:hAnsi="Arial" w:cs="Arial" w:hint="eastAsia"/>
          <w:color w:val="000000"/>
          <w:sz w:val="29"/>
          <w:szCs w:val="29"/>
        </w:rPr>
        <w:t xml:space="preserve">  </w:t>
      </w:r>
      <w:r w:rsidRPr="00792700">
        <w:rPr>
          <w:rFonts w:ascii="仿宋_GB2312" w:eastAsia="仿宋_GB2312" w:hAnsi="Arial" w:cs="Arial" w:hint="eastAsia"/>
          <w:color w:val="000000"/>
          <w:sz w:val="29"/>
          <w:szCs w:val="29"/>
          <w:highlight w:val="yellow"/>
        </w:rPr>
        <w:t>本行根据自身资产规模和业务状况，董事会由</w:t>
      </w:r>
      <w:r w:rsidR="003F08BF">
        <w:rPr>
          <w:rFonts w:ascii="仿宋_GB2312" w:eastAsia="仿宋_GB2312" w:hAnsi="Arial" w:cs="Arial" w:hint="eastAsia"/>
          <w:color w:val="000000"/>
          <w:sz w:val="29"/>
          <w:szCs w:val="29"/>
          <w:highlight w:val="yellow"/>
        </w:rPr>
        <w:t>12</w:t>
      </w:r>
      <w:r w:rsidRPr="00792700">
        <w:rPr>
          <w:rFonts w:ascii="仿宋_GB2312" w:eastAsia="仿宋_GB2312" w:hAnsi="Arial" w:cs="Arial" w:hint="eastAsia"/>
          <w:color w:val="000000"/>
          <w:sz w:val="29"/>
          <w:szCs w:val="29"/>
          <w:highlight w:val="yellow"/>
        </w:rPr>
        <w:t>名董事组成，其中：</w:t>
      </w:r>
      <w:r w:rsidRPr="00792700">
        <w:rPr>
          <w:rFonts w:ascii="仿宋_GB2312" w:eastAsia="仿宋_GB2312" w:hint="eastAsia"/>
          <w:sz w:val="30"/>
          <w:szCs w:val="30"/>
          <w:highlight w:val="yellow"/>
        </w:rPr>
        <w:t>执行董事人数2人，</w:t>
      </w:r>
      <w:r w:rsidR="00804BE0">
        <w:rPr>
          <w:rFonts w:ascii="仿宋_GB2312" w:eastAsia="仿宋_GB2312" w:hint="eastAsia"/>
          <w:sz w:val="30"/>
          <w:szCs w:val="30"/>
          <w:highlight w:val="yellow"/>
        </w:rPr>
        <w:t>非执行董事10名（包含</w:t>
      </w:r>
      <w:r w:rsidRPr="00792700">
        <w:rPr>
          <w:rFonts w:ascii="仿宋_GB2312" w:eastAsia="仿宋_GB2312" w:hint="eastAsia"/>
          <w:sz w:val="30"/>
          <w:szCs w:val="30"/>
          <w:highlight w:val="yellow"/>
        </w:rPr>
        <w:t>独立董事</w:t>
      </w:r>
      <w:r w:rsidR="003F08BF">
        <w:rPr>
          <w:rFonts w:ascii="仿宋_GB2312" w:eastAsia="仿宋_GB2312" w:hint="eastAsia"/>
          <w:sz w:val="30"/>
          <w:szCs w:val="30"/>
          <w:highlight w:val="yellow"/>
        </w:rPr>
        <w:t>4</w:t>
      </w:r>
      <w:r w:rsidRPr="00792700">
        <w:rPr>
          <w:rFonts w:ascii="仿宋_GB2312" w:eastAsia="仿宋_GB2312" w:hint="eastAsia"/>
          <w:sz w:val="30"/>
          <w:szCs w:val="30"/>
          <w:highlight w:val="yellow"/>
        </w:rPr>
        <w:t>人</w:t>
      </w:r>
      <w:r w:rsidR="00804BE0">
        <w:rPr>
          <w:rFonts w:ascii="仿宋_GB2312" w:eastAsia="仿宋_GB2312" w:hint="eastAsia"/>
          <w:sz w:val="30"/>
          <w:szCs w:val="30"/>
        </w:rPr>
        <w:t>）</w:t>
      </w:r>
    </w:p>
    <w:p w:rsidR="00804BE0" w:rsidRPr="00804BE0" w:rsidRDefault="00804BE0" w:rsidP="00804BE0">
      <w:pPr>
        <w:pStyle w:val="a6"/>
        <w:spacing w:before="68" w:beforeAutospacing="0" w:after="68" w:afterAutospacing="0" w:line="503" w:lineRule="atLeast"/>
        <w:ind w:firstLine="584"/>
        <w:rPr>
          <w:rFonts w:ascii="仿宋_GB2312" w:eastAsia="仿宋_GB2312"/>
          <w:sz w:val="30"/>
          <w:szCs w:val="30"/>
          <w:highlight w:val="yellow"/>
        </w:rPr>
      </w:pPr>
      <w:r w:rsidRPr="00804BE0">
        <w:rPr>
          <w:rFonts w:ascii="仿宋_GB2312" w:eastAsia="仿宋_GB2312" w:hint="eastAsia"/>
          <w:sz w:val="30"/>
          <w:szCs w:val="30"/>
          <w:highlight w:val="yellow"/>
        </w:rPr>
        <w:t>执行董事是指在本行担任除董事职务外，还承担高级管理人员职责的董事。</w:t>
      </w:r>
    </w:p>
    <w:p w:rsidR="00804BE0" w:rsidRPr="00804BE0" w:rsidRDefault="00804BE0" w:rsidP="00804BE0">
      <w:pPr>
        <w:pStyle w:val="a6"/>
        <w:spacing w:before="68" w:beforeAutospacing="0" w:after="68" w:afterAutospacing="0" w:line="503" w:lineRule="atLeast"/>
        <w:ind w:firstLine="584"/>
        <w:rPr>
          <w:rFonts w:ascii="仿宋_GB2312" w:eastAsia="仿宋_GB2312"/>
          <w:sz w:val="30"/>
          <w:szCs w:val="30"/>
          <w:highlight w:val="yellow"/>
        </w:rPr>
      </w:pPr>
      <w:r w:rsidRPr="00804BE0">
        <w:rPr>
          <w:rFonts w:ascii="仿宋_GB2312" w:eastAsia="仿宋_GB2312" w:hint="eastAsia"/>
          <w:sz w:val="30"/>
          <w:szCs w:val="30"/>
          <w:highlight w:val="yellow"/>
        </w:rPr>
        <w:t>非执行董事是指在本行不担任除董事以外的职务，且不承担高级管理人员职责的董事。</w:t>
      </w:r>
    </w:p>
    <w:p w:rsidR="00804BE0" w:rsidRPr="00804BE0" w:rsidRDefault="00804BE0" w:rsidP="00804BE0">
      <w:pPr>
        <w:pStyle w:val="a6"/>
        <w:spacing w:before="68" w:beforeAutospacing="0" w:after="68" w:afterAutospacing="0" w:line="503" w:lineRule="atLeast"/>
        <w:ind w:firstLine="584"/>
        <w:rPr>
          <w:rFonts w:ascii="仿宋_GB2312" w:eastAsia="仿宋_GB2312"/>
          <w:sz w:val="30"/>
          <w:szCs w:val="30"/>
          <w:highlight w:val="yellow"/>
        </w:rPr>
      </w:pPr>
      <w:r w:rsidRPr="00804BE0">
        <w:rPr>
          <w:rFonts w:ascii="仿宋_GB2312" w:eastAsia="仿宋_GB2312" w:hint="eastAsia"/>
          <w:sz w:val="30"/>
          <w:szCs w:val="30"/>
          <w:highlight w:val="yellow"/>
        </w:rPr>
        <w:lastRenderedPageBreak/>
        <w:t>独立董事是指不在本行担任除董事以外的其他职务，并与本行及其股东、实际控制人不存在任何可能影响其进行独立、客观判断关系的董事。</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本行董事会设董事长1人，董事长由本行董事担任，以全体董事过半数选举产生和罢免，其任职资格须经银行保险监督管理机构审核通过。董事长每届任期三年，连选可以连任，离任时须进行离任审计。</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第四条  </w:t>
      </w:r>
      <w:r>
        <w:rPr>
          <w:rFonts w:ascii="仿宋_GB2312" w:eastAsia="仿宋_GB2312" w:hAnsi="Arial" w:cs="Arial" w:hint="eastAsia"/>
          <w:color w:val="000000"/>
          <w:sz w:val="29"/>
          <w:szCs w:val="29"/>
        </w:rPr>
        <w:t>董事会行使下列职权：</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（一）负责召集股东大会，并向大会报告工作；</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（二）执行股东大会的决议；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（三）审议本行战略规划，决定本行的经营计划和投资方案；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（四）制订本行的年度财务预算方案、决算方案、风险资本分配方案；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（五）制订本行的利润分配方案和弥补亏损方案；</w:t>
      </w:r>
    </w:p>
    <w:p w:rsidR="001732E2" w:rsidRPr="00792700"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sidRPr="00792700">
        <w:rPr>
          <w:rFonts w:ascii="仿宋_GB2312" w:eastAsia="仿宋_GB2312" w:hAnsi="Arial" w:cs="Arial" w:hint="eastAsia"/>
          <w:color w:val="000000"/>
          <w:sz w:val="29"/>
          <w:szCs w:val="29"/>
          <w:highlight w:val="yellow"/>
        </w:rPr>
        <w:t>（六）制订资本规划，承担资本或偿付能力管理最终责任。制订本行增加或者减少注册资本金</w:t>
      </w:r>
      <w:r w:rsidR="001732E2" w:rsidRPr="00792700">
        <w:rPr>
          <w:rFonts w:ascii="仿宋_GB2312" w:eastAsia="仿宋_GB2312" w:hAnsi="Arial" w:cs="Arial" w:hint="eastAsia"/>
          <w:color w:val="000000"/>
          <w:sz w:val="29"/>
          <w:szCs w:val="29"/>
          <w:highlight w:val="yellow"/>
        </w:rPr>
        <w:t>以及发行本行债券的方案</w:t>
      </w:r>
      <w:r w:rsidRPr="00792700">
        <w:rPr>
          <w:rFonts w:ascii="仿宋_GB2312" w:eastAsia="仿宋_GB2312" w:hAnsi="Arial" w:cs="Arial" w:hint="eastAsia"/>
          <w:color w:val="000000"/>
          <w:sz w:val="29"/>
          <w:szCs w:val="29"/>
          <w:highlight w:val="yellow"/>
        </w:rPr>
        <w:t>；</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（七）制订本行重大收购、回购本行股份或者合并、分立、解散或变更本行</w:t>
      </w:r>
      <w:bookmarkStart w:id="0" w:name="_GoBack"/>
      <w:bookmarkEnd w:id="0"/>
      <w:r>
        <w:rPr>
          <w:rFonts w:ascii="仿宋_GB2312" w:eastAsia="仿宋_GB2312" w:hAnsi="Arial" w:cs="Arial" w:hint="eastAsia"/>
          <w:color w:val="000000"/>
          <w:sz w:val="29"/>
          <w:szCs w:val="29"/>
        </w:rPr>
        <w:t>形式的方案；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（八）依法决定本行内部管理机构和人员编制的设置、调整方案；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lastRenderedPageBreak/>
        <w:t>（九）聘任或者解聘本行行长、董事会秘书；根据行长的提名，聘任或者解聘副行长（含行长助理、风险总监、财务总监、合规总监、总审计师、总会计师、首席信息官以及同职级高级管理人员）、内审部门负责人、财务部门负责人、合规部门负责人，并决定其报酬事项和奖惩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（十）制定、修改和废除本行的基本管理制度，制定风险容忍度、风险管理和内部控制政策，对本行的风险管理承担最终责任；</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（十一）审议决定本行年度投资计划，年度投资计划内的所有股权投资、投资额超过1000万元以上的固定资产投资，超过董事会对经营层授权的金融资产投资，计划外投资项目。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（十二）审议决定1000万元以上大宗物资（设备）及服务采购方案。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（十三）审议决定本行年度资金使用计划。</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（十四）审议决定本行及控股企业</w:t>
      </w:r>
      <w:r w:rsidRPr="00A00546">
        <w:rPr>
          <w:rFonts w:ascii="仿宋_GB2312" w:eastAsia="仿宋_GB2312" w:hAnsi="Arial" w:cs="Arial" w:hint="eastAsia"/>
          <w:color w:val="000000"/>
          <w:sz w:val="29"/>
          <w:szCs w:val="29"/>
          <w:highlight w:val="yellow"/>
        </w:rPr>
        <w:t>5</w:t>
      </w:r>
      <w:r w:rsidR="00A00546" w:rsidRPr="00A00546">
        <w:rPr>
          <w:rFonts w:ascii="仿宋_GB2312" w:eastAsia="仿宋_GB2312" w:hAnsi="Arial" w:cs="Arial" w:hint="eastAsia"/>
          <w:color w:val="000000"/>
          <w:sz w:val="29"/>
          <w:szCs w:val="29"/>
          <w:highlight w:val="yellow"/>
        </w:rPr>
        <w:t>0</w:t>
      </w:r>
      <w:r w:rsidRPr="00A00546">
        <w:rPr>
          <w:rFonts w:ascii="仿宋_GB2312" w:eastAsia="仿宋_GB2312" w:hAnsi="Arial" w:cs="Arial" w:hint="eastAsia"/>
          <w:color w:val="000000"/>
          <w:sz w:val="29"/>
          <w:szCs w:val="29"/>
          <w:highlight w:val="yellow"/>
        </w:rPr>
        <w:t>万元以上</w:t>
      </w:r>
      <w:r>
        <w:rPr>
          <w:rFonts w:ascii="仿宋_GB2312" w:eastAsia="仿宋_GB2312" w:hAnsi="Arial" w:cs="Arial" w:hint="eastAsia"/>
          <w:color w:val="000000"/>
          <w:sz w:val="29"/>
          <w:szCs w:val="29"/>
        </w:rPr>
        <w:t>（含）对外捐赠、赞助事项。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（十五）审议决定本行借出资金、对外（含控股企业）担保计划以及超计划借出资金、融资、担保等事项。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（十六）审议决定本行及控股企业单户2000万元以上的资产处置、单户2000万元以上的损失核销事项。</w:t>
      </w:r>
    </w:p>
    <w:p w:rsidR="001732E2" w:rsidRPr="001732E2" w:rsidRDefault="001732E2">
      <w:pPr>
        <w:pStyle w:val="a6"/>
        <w:spacing w:before="68" w:beforeAutospacing="0" w:after="68" w:afterAutospacing="0" w:line="503" w:lineRule="atLeast"/>
        <w:ind w:firstLine="584"/>
        <w:rPr>
          <w:rFonts w:ascii="Arial" w:hAnsi="Arial" w:cs="Arial"/>
          <w:color w:val="000000"/>
          <w:sz w:val="22"/>
          <w:szCs w:val="22"/>
          <w:highlight w:val="yellow"/>
        </w:rPr>
      </w:pPr>
      <w:r w:rsidRPr="001732E2">
        <w:rPr>
          <w:rFonts w:ascii="仿宋_GB2312" w:eastAsia="仿宋_GB2312" w:hAnsi="Arial" w:cs="Arial" w:hint="eastAsia"/>
          <w:color w:val="000000"/>
          <w:sz w:val="29"/>
          <w:szCs w:val="29"/>
          <w:highlight w:val="yellow"/>
        </w:rPr>
        <w:lastRenderedPageBreak/>
        <w:t>（十七）</w:t>
      </w:r>
      <w:r w:rsidR="00792700">
        <w:rPr>
          <w:rFonts w:ascii="仿宋_GB2312" w:eastAsia="仿宋_GB2312" w:hAnsi="Arial" w:cs="Arial" w:hint="eastAsia"/>
          <w:color w:val="000000"/>
          <w:sz w:val="29"/>
          <w:szCs w:val="29"/>
          <w:highlight w:val="yellow"/>
        </w:rPr>
        <w:t>制定</w:t>
      </w:r>
      <w:r w:rsidRPr="001732E2">
        <w:rPr>
          <w:rFonts w:ascii="仿宋_GB2312" w:eastAsia="仿宋_GB2312" w:hAnsi="Arial" w:cs="Arial" w:hint="eastAsia"/>
          <w:color w:val="000000"/>
          <w:sz w:val="29"/>
          <w:szCs w:val="29"/>
          <w:highlight w:val="yellow"/>
        </w:rPr>
        <w:t>本行及控股企业改制、兼并重组、上市</w:t>
      </w:r>
      <w:r w:rsidR="00792700">
        <w:rPr>
          <w:rFonts w:ascii="仿宋_GB2312" w:eastAsia="仿宋_GB2312" w:hAnsi="Arial" w:cs="Arial" w:hint="eastAsia"/>
          <w:color w:val="000000"/>
          <w:sz w:val="29"/>
          <w:szCs w:val="29"/>
          <w:highlight w:val="yellow"/>
        </w:rPr>
        <w:t>方案，在股东大会授权范围内的</w:t>
      </w:r>
      <w:r w:rsidR="0020748E">
        <w:rPr>
          <w:rFonts w:ascii="仿宋_GB2312" w:eastAsia="仿宋_GB2312" w:hAnsi="Arial" w:cs="Arial" w:hint="eastAsia"/>
          <w:color w:val="000000"/>
          <w:sz w:val="29"/>
          <w:szCs w:val="29"/>
          <w:highlight w:val="yellow"/>
        </w:rPr>
        <w:t>对外担保、关联交易、</w:t>
      </w:r>
      <w:r w:rsidRPr="001732E2">
        <w:rPr>
          <w:rFonts w:ascii="仿宋_GB2312" w:eastAsia="仿宋_GB2312" w:hAnsi="Arial" w:cs="Arial" w:hint="eastAsia"/>
          <w:color w:val="000000"/>
          <w:sz w:val="29"/>
          <w:szCs w:val="29"/>
          <w:highlight w:val="yellow"/>
        </w:rPr>
        <w:t>资产置换、产权转让、重要资产的质押、拍卖等事项。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（十八）审议决定本行重大会计政策调整、会计估计变更和重大会计差错更正。</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（十九）审议决定重大关联交易，接受本行一般关联交易的备案；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sidRPr="0020748E">
        <w:rPr>
          <w:rFonts w:ascii="仿宋_GB2312" w:eastAsia="仿宋_GB2312" w:hAnsi="Arial" w:cs="Arial" w:hint="eastAsia"/>
          <w:color w:val="000000"/>
          <w:sz w:val="29"/>
          <w:szCs w:val="29"/>
          <w:highlight w:val="yellow"/>
        </w:rPr>
        <w:t>（二十）</w:t>
      </w:r>
      <w:r w:rsidRPr="0020748E">
        <w:rPr>
          <w:rFonts w:ascii="仿宋_GB2312" w:eastAsia="仿宋_GB2312" w:hint="eastAsia"/>
          <w:sz w:val="30"/>
          <w:szCs w:val="30"/>
          <w:highlight w:val="yellow"/>
        </w:rPr>
        <w:t>审批本行年度薪酬管理制度及政策，</w:t>
      </w:r>
      <w:r>
        <w:rPr>
          <w:rFonts w:ascii="仿宋_GB2312" w:eastAsia="仿宋_GB2312" w:hAnsi="Arial" w:cs="Arial" w:hint="eastAsia"/>
          <w:color w:val="000000"/>
          <w:sz w:val="29"/>
          <w:szCs w:val="29"/>
        </w:rPr>
        <w:t>按照财政部、省财政厅等上级部门要求和行业薪酬管理制度要求，审议决定本行及控股企业领导人员薪酬和奖金分配方案、本行各级管理人员履职待遇和业务支出管理方案。制定本行董事年度薪酬、津贴方案，报经股东大会审议批准；</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sidRPr="0020748E">
        <w:rPr>
          <w:rFonts w:ascii="仿宋_GB2312" w:eastAsia="仿宋_GB2312" w:hAnsi="Arial" w:cs="Arial" w:hint="eastAsia"/>
          <w:color w:val="000000"/>
          <w:sz w:val="29"/>
          <w:szCs w:val="29"/>
          <w:highlight w:val="yellow"/>
        </w:rPr>
        <w:t>（二十一）制订本行章程的修订草案，</w:t>
      </w:r>
      <w:r w:rsidRPr="0020748E">
        <w:rPr>
          <w:rFonts w:ascii="仿宋_GB2312" w:eastAsia="仿宋_GB2312" w:hint="eastAsia"/>
          <w:sz w:val="30"/>
          <w:szCs w:val="30"/>
          <w:highlight w:val="yellow"/>
        </w:rPr>
        <w:t>制订股东大会议事规则、董事会议事规则，审议批准董事会专门委员会工作规则</w:t>
      </w:r>
      <w:r w:rsidRPr="0020748E">
        <w:rPr>
          <w:rFonts w:ascii="仿宋_GB2312" w:eastAsia="仿宋_GB2312" w:hAnsi="Arial" w:cs="Arial" w:hint="eastAsia"/>
          <w:color w:val="000000"/>
          <w:sz w:val="29"/>
          <w:szCs w:val="29"/>
          <w:highlight w:val="yellow"/>
        </w:rPr>
        <w:t>；</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（二十二）负责本行信息披露事项，并对本行的会计和财务报告体系的完整性、准确性</w:t>
      </w:r>
      <w:r w:rsidR="00804BE0" w:rsidRPr="00804BE0">
        <w:rPr>
          <w:rFonts w:ascii="仿宋_GB2312" w:eastAsia="仿宋_GB2312" w:hAnsi="Arial" w:cs="Arial" w:hint="eastAsia"/>
          <w:sz w:val="29"/>
          <w:szCs w:val="29"/>
          <w:highlight w:val="yellow"/>
        </w:rPr>
        <w:t>和及时性</w:t>
      </w:r>
      <w:r>
        <w:rPr>
          <w:rFonts w:ascii="仿宋_GB2312" w:eastAsia="仿宋_GB2312" w:hAnsi="Arial" w:cs="Arial" w:hint="eastAsia"/>
          <w:color w:val="000000"/>
          <w:sz w:val="29"/>
          <w:szCs w:val="29"/>
        </w:rPr>
        <w:t>承担最终责任；</w:t>
      </w:r>
    </w:p>
    <w:p w:rsidR="001732E2" w:rsidRPr="0020748E"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sidRPr="0020748E">
        <w:rPr>
          <w:rFonts w:ascii="仿宋_GB2312" w:eastAsia="仿宋_GB2312" w:hAnsi="Arial" w:cs="Arial" w:hint="eastAsia"/>
          <w:color w:val="000000"/>
          <w:sz w:val="29"/>
          <w:szCs w:val="29"/>
          <w:highlight w:val="yellow"/>
        </w:rPr>
        <w:t>（二十三）提请股</w:t>
      </w:r>
      <w:r w:rsidR="00804BE0">
        <w:rPr>
          <w:rFonts w:ascii="仿宋_GB2312" w:eastAsia="仿宋_GB2312" w:hAnsi="Arial" w:cs="Arial" w:hint="eastAsia"/>
          <w:color w:val="000000"/>
          <w:sz w:val="29"/>
          <w:szCs w:val="29"/>
          <w:highlight w:val="yellow"/>
        </w:rPr>
        <w:t>东大会聘用或者解聘为公司财务报告进行定期法定审计的会计师事务所</w:t>
      </w:r>
      <w:r w:rsidR="001732E2" w:rsidRPr="0020748E">
        <w:rPr>
          <w:rFonts w:ascii="仿宋_GB2312" w:eastAsia="仿宋_GB2312" w:hAnsi="Arial" w:cs="Arial" w:hint="eastAsia"/>
          <w:color w:val="000000"/>
          <w:sz w:val="29"/>
          <w:szCs w:val="29"/>
        </w:rPr>
        <w:t>；</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（二十四）听取本行行长的工作汇报并检查行长的工作，监督并确保高级管理层有效履行管理职责；</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lastRenderedPageBreak/>
        <w:t>（二十五）向股东大会通报银行保险监督管理机构对本行的监管意见及本行执行整改情况；</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（二十六）制定董事会与高级管理层应当遵循的职业规范与价值准则；</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（二十七）定期评估并完善本行公司治理；</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sidRPr="0020748E">
        <w:rPr>
          <w:rFonts w:ascii="仿宋_GB2312" w:eastAsia="仿宋_GB2312" w:hAnsi="Arial" w:cs="Arial" w:hint="eastAsia"/>
          <w:color w:val="000000"/>
          <w:sz w:val="29"/>
          <w:szCs w:val="29"/>
          <w:highlight w:val="yellow"/>
        </w:rPr>
        <w:t>（二十八）</w:t>
      </w:r>
      <w:r w:rsidRPr="0020748E">
        <w:rPr>
          <w:rFonts w:ascii="仿宋_GB2312" w:eastAsia="仿宋_GB2312" w:hint="eastAsia"/>
          <w:sz w:val="30"/>
          <w:szCs w:val="30"/>
          <w:highlight w:val="yellow"/>
        </w:rPr>
        <w:t>维护金融消费者和其他利益相关者合法权益</w:t>
      </w:r>
      <w:r w:rsidRPr="0020748E">
        <w:rPr>
          <w:rFonts w:ascii="仿宋_GB2312" w:eastAsia="仿宋_GB2312" w:hAnsi="Arial" w:cs="Arial" w:hint="eastAsia"/>
          <w:color w:val="000000"/>
          <w:sz w:val="29"/>
          <w:szCs w:val="29"/>
          <w:highlight w:val="yellow"/>
        </w:rPr>
        <w:t>；</w:t>
      </w:r>
    </w:p>
    <w:p w:rsidR="001732E2"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sidRPr="0020748E">
        <w:rPr>
          <w:rFonts w:ascii="仿宋_GB2312" w:eastAsia="仿宋_GB2312" w:hAnsi="Arial" w:cs="Arial" w:hint="eastAsia"/>
          <w:color w:val="000000"/>
          <w:sz w:val="29"/>
          <w:szCs w:val="29"/>
          <w:highlight w:val="yellow"/>
        </w:rPr>
        <w:t>（二十九）建立本行与股东</w:t>
      </w:r>
      <w:r w:rsidRPr="0020748E">
        <w:rPr>
          <w:rFonts w:ascii="仿宋_GB2312" w:eastAsia="仿宋_GB2312" w:hint="eastAsia"/>
          <w:sz w:val="30"/>
          <w:szCs w:val="30"/>
          <w:highlight w:val="yellow"/>
        </w:rPr>
        <w:t>特别是主要股东</w:t>
      </w:r>
      <w:r w:rsidRPr="0020748E">
        <w:rPr>
          <w:rFonts w:ascii="仿宋_GB2312" w:eastAsia="仿宋_GB2312" w:hAnsi="Arial" w:cs="Arial" w:hint="eastAsia"/>
          <w:color w:val="000000"/>
          <w:sz w:val="29"/>
          <w:szCs w:val="29"/>
          <w:highlight w:val="yellow"/>
        </w:rPr>
        <w:t>之间利益冲突的识别、审查和管理机制；</w:t>
      </w:r>
    </w:p>
    <w:p w:rsidR="001732E2"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sidRPr="0020748E">
        <w:rPr>
          <w:rFonts w:ascii="仿宋_GB2312" w:eastAsia="仿宋_GB2312" w:hAnsi="Arial" w:cs="Arial" w:hint="eastAsia"/>
          <w:color w:val="000000"/>
          <w:sz w:val="29"/>
          <w:szCs w:val="29"/>
          <w:highlight w:val="yellow"/>
        </w:rPr>
        <w:t>（三十）建立依法合规、诚实守信的从业人员行为管理文化，审批本行制定的行为守则及其细则，监督高级管理层实施从业人员行为管理，并对从业人员的行为管理承担最终责任</w:t>
      </w:r>
    </w:p>
    <w:p w:rsidR="00804BE0" w:rsidRDefault="00804BE0">
      <w:pPr>
        <w:pStyle w:val="a6"/>
        <w:spacing w:before="68" w:beforeAutospacing="0" w:after="68" w:afterAutospacing="0" w:line="503" w:lineRule="atLeast"/>
        <w:ind w:firstLine="584"/>
        <w:rPr>
          <w:rFonts w:ascii="仿宋_GB2312" w:eastAsia="仿宋_GB2312" w:hAnsi="Arial" w:cs="Arial"/>
          <w:color w:val="000000"/>
          <w:sz w:val="29"/>
          <w:szCs w:val="29"/>
        </w:rPr>
      </w:pPr>
      <w:r w:rsidRPr="00804BE0">
        <w:rPr>
          <w:rFonts w:ascii="仿宋_GB2312" w:eastAsia="仿宋_GB2312" w:hAnsi="Arial" w:cs="Arial" w:hint="eastAsia"/>
          <w:color w:val="000000"/>
          <w:sz w:val="29"/>
          <w:szCs w:val="29"/>
          <w:highlight w:val="yellow"/>
        </w:rPr>
        <w:t>（三十一）制订本行发行债券或者其他证券及上市的方案</w:t>
      </w:r>
    </w:p>
    <w:p w:rsidR="00804BE0" w:rsidRDefault="00804BE0">
      <w:pPr>
        <w:pStyle w:val="a6"/>
        <w:spacing w:before="68" w:beforeAutospacing="0" w:after="68" w:afterAutospacing="0" w:line="503" w:lineRule="atLeast"/>
        <w:ind w:firstLine="584"/>
        <w:rPr>
          <w:rFonts w:ascii="仿宋_GB2312" w:eastAsia="仿宋_GB2312" w:hAnsi="Arial" w:cs="Arial"/>
          <w:color w:val="000000"/>
          <w:sz w:val="29"/>
          <w:szCs w:val="29"/>
        </w:rPr>
      </w:pPr>
      <w:r w:rsidRPr="00804BE0">
        <w:rPr>
          <w:rFonts w:ascii="仿宋_GB2312" w:eastAsia="仿宋_GB2312" w:hAnsi="Arial" w:cs="Arial" w:hint="eastAsia"/>
          <w:color w:val="000000"/>
          <w:sz w:val="29"/>
          <w:szCs w:val="29"/>
          <w:highlight w:val="yellow"/>
        </w:rPr>
        <w:t>（三十二）承担股东事务的管理责任</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（三十</w:t>
      </w:r>
      <w:r w:rsidR="00804BE0">
        <w:rPr>
          <w:rFonts w:ascii="仿宋_GB2312" w:eastAsia="仿宋_GB2312" w:hAnsi="Arial" w:cs="Arial" w:hint="eastAsia"/>
          <w:color w:val="000000"/>
          <w:sz w:val="29"/>
          <w:szCs w:val="29"/>
        </w:rPr>
        <w:t>三</w:t>
      </w:r>
      <w:r>
        <w:rPr>
          <w:rFonts w:ascii="仿宋_GB2312" w:eastAsia="仿宋_GB2312" w:hAnsi="Arial" w:cs="Arial" w:hint="eastAsia"/>
          <w:color w:val="000000"/>
          <w:sz w:val="29"/>
          <w:szCs w:val="29"/>
        </w:rPr>
        <w:t>）法律法规或银行保险监督管理机构规定、本行《章程》或本行“三重一大”决策制度实施办法规定、或股东大会授予董事会行使的其他职权。。</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第五条</w:t>
      </w:r>
      <w:r w:rsidR="00672B74">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董事长行使下列职权：</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（一）主持股东大会和召集、主持董事会会议；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（二）督促、检查董事会决议的执行，并向董事会报告；</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（三）签署本行股权证书；</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lastRenderedPageBreak/>
        <w:t>（四）签署董事会重要文件和其他应由本行法定代表人签署的其他文件；</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（五）行使法定代表人的职权；</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（六）在发生特大自然灾害等不可抗力的紧急情况下，对本行事务行使符合法律规定和本行利益的特别处置权，并在事后向本行董事会和股东大会报告；</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（七）董事会授予的其他职权。</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第六条</w:t>
      </w:r>
      <w:r w:rsidR="00672B74">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董事会应当制定本行基本授权制度，确定高级管理层运用本行资产所做出的风险投资和大额贷款权限，建立严格的审查和决策程序；重大投资项目和大额贷款应当组织有关专家、专业人员进行评审。</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第七条  </w:t>
      </w:r>
      <w:r>
        <w:rPr>
          <w:rFonts w:ascii="仿宋_GB2312" w:eastAsia="仿宋_GB2312" w:hAnsi="Arial" w:cs="Arial" w:hint="eastAsia"/>
          <w:color w:val="000000"/>
          <w:sz w:val="29"/>
          <w:szCs w:val="29"/>
        </w:rPr>
        <w:t>董事会设立战略和三农、审计、消费者权益保护和执行、风险和关联交易控制、提名和薪酬、</w:t>
      </w:r>
      <w:r w:rsidRPr="0020748E">
        <w:rPr>
          <w:rFonts w:ascii="仿宋_GB2312" w:eastAsia="仿宋_GB2312" w:hAnsi="Arial" w:cs="Arial" w:hint="eastAsia"/>
          <w:color w:val="000000"/>
          <w:sz w:val="29"/>
          <w:szCs w:val="29"/>
          <w:highlight w:val="yellow"/>
        </w:rPr>
        <w:t>绿色金融等专门委员会</w:t>
      </w:r>
      <w:r>
        <w:rPr>
          <w:rFonts w:ascii="仿宋_GB2312" w:eastAsia="仿宋_GB2312" w:hAnsi="Arial" w:cs="Arial" w:hint="eastAsia"/>
          <w:color w:val="000000"/>
          <w:sz w:val="29"/>
          <w:szCs w:val="29"/>
        </w:rPr>
        <w:t>，并制订各专门委员会的工作制度；各专门委员会直接对董事会负责。</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第八条</w:t>
      </w:r>
      <w:r w:rsidR="00672B74">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董事会行使职权的方式：</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（一）按规定程序召开董事会会议，组织落实</w:t>
      </w:r>
      <w:r w:rsidR="00C71E03" w:rsidRPr="00C71E03">
        <w:rPr>
          <w:rFonts w:ascii="仿宋_GB2312" w:eastAsia="仿宋_GB2312" w:hAnsi="Arial" w:cs="Arial" w:hint="eastAsia"/>
          <w:color w:val="000000"/>
          <w:sz w:val="29"/>
          <w:szCs w:val="29"/>
          <w:highlight w:val="yellow"/>
        </w:rPr>
        <w:t>股东大会</w:t>
      </w:r>
      <w:r>
        <w:rPr>
          <w:rFonts w:ascii="仿宋_GB2312" w:eastAsia="仿宋_GB2312" w:hAnsi="Arial" w:cs="Arial" w:hint="eastAsia"/>
          <w:color w:val="000000"/>
          <w:sz w:val="29"/>
          <w:szCs w:val="29"/>
        </w:rPr>
        <w:t>决议。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（二）组织各专门委员会按职责要求开展工作，对各类方案进行论证，提出指导意见。</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（三）列席（或派代表列席）高级管理层重要会议，根据需要专题安排高级管理层汇报工作，定期听取高级管理层关于风险状况</w:t>
      </w:r>
      <w:r>
        <w:rPr>
          <w:rFonts w:ascii="仿宋_GB2312" w:eastAsia="仿宋_GB2312" w:hAnsi="Arial" w:cs="Arial" w:hint="eastAsia"/>
          <w:color w:val="000000"/>
          <w:sz w:val="29"/>
          <w:szCs w:val="29"/>
        </w:rPr>
        <w:lastRenderedPageBreak/>
        <w:t>的专题报告，及时掌握业务发展、经营管理动态，必要时要求高级管理层就有关问题作出解释。</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（四）审议超出高级管理层授权权限的风险管理事项。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（五）督查（或立项检查）经营计划执行情况、决议与方案落实情况，必要时对相关人员进行质询，或者进行诫勉、警示谈话。</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（六）组织落实银行保险监督管理机构的监管意见、监事会的监督意见。</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（七）开展调查研究，重点就经营战略方面的问题听取股东、职工、客户意见，集中归类筛选形成议题、议案。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（八）依据经营目标责任考核办法考核高级管理层年度经营实绩，并兑现奖惩。</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（九）培育公司治理文化，加强良好、诚信的企业文化和价值准则建设。</w:t>
      </w:r>
    </w:p>
    <w:p w:rsidR="001732E2" w:rsidRDefault="00F33AFD">
      <w:pPr>
        <w:pStyle w:val="a6"/>
        <w:spacing w:before="136" w:beforeAutospacing="0" w:after="136" w:afterAutospacing="0" w:line="503" w:lineRule="atLeast"/>
        <w:jc w:val="center"/>
        <w:rPr>
          <w:rFonts w:ascii="Arial" w:hAnsi="Arial" w:cs="Arial"/>
          <w:color w:val="000000"/>
          <w:sz w:val="22"/>
          <w:szCs w:val="22"/>
        </w:rPr>
      </w:pPr>
      <w:r>
        <w:rPr>
          <w:rFonts w:ascii="黑体" w:eastAsia="黑体" w:hAnsi="Arial" w:cs="Arial" w:hint="eastAsia"/>
          <w:color w:val="000000"/>
          <w:sz w:val="29"/>
          <w:szCs w:val="29"/>
        </w:rPr>
        <w:t>第三章  董事会会议的召开</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第九条  </w:t>
      </w:r>
      <w:r>
        <w:rPr>
          <w:rFonts w:ascii="仿宋_GB2312" w:eastAsia="仿宋_GB2312" w:hAnsi="Arial" w:cs="Arial" w:hint="eastAsia"/>
          <w:color w:val="000000"/>
          <w:sz w:val="29"/>
          <w:szCs w:val="29"/>
        </w:rPr>
        <w:t>董事会会议分为</w:t>
      </w:r>
      <w:r w:rsidR="0020748E" w:rsidRPr="0020748E">
        <w:rPr>
          <w:rFonts w:ascii="仿宋_GB2312" w:eastAsia="仿宋_GB2312" w:hAnsi="Arial" w:cs="Arial" w:hint="eastAsia"/>
          <w:color w:val="000000"/>
          <w:sz w:val="29"/>
          <w:szCs w:val="29"/>
          <w:highlight w:val="yellow"/>
        </w:rPr>
        <w:t>定期会议</w:t>
      </w:r>
      <w:r>
        <w:rPr>
          <w:rFonts w:ascii="仿宋_GB2312" w:eastAsia="仿宋_GB2312" w:hAnsi="Arial" w:cs="Arial" w:hint="eastAsia"/>
          <w:color w:val="000000"/>
          <w:sz w:val="29"/>
          <w:szCs w:val="29"/>
        </w:rPr>
        <w:t>和临时会议，本行董事会</w:t>
      </w:r>
      <w:r w:rsidR="0020748E" w:rsidRPr="0020748E">
        <w:rPr>
          <w:rFonts w:ascii="仿宋_GB2312" w:eastAsia="仿宋_GB2312" w:hAnsi="Arial" w:cs="Arial" w:hint="eastAsia"/>
          <w:color w:val="000000"/>
          <w:sz w:val="29"/>
          <w:szCs w:val="29"/>
          <w:highlight w:val="yellow"/>
        </w:rPr>
        <w:t>定期会议</w:t>
      </w:r>
      <w:r>
        <w:rPr>
          <w:rFonts w:ascii="仿宋_GB2312" w:eastAsia="仿宋_GB2312" w:hAnsi="Arial" w:cs="Arial" w:hint="eastAsia"/>
          <w:color w:val="000000"/>
          <w:sz w:val="29"/>
          <w:szCs w:val="29"/>
        </w:rPr>
        <w:t>每季度至少应召开1次，由董事长召集和主持，于会议召开10日前书面通知全体董事。</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董事会应当通知监事会派员列席董事会会议。本行董事（包括独立董事）每年至少应当亲自参加董事会会议总数的2/3。</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未能亲自出席董事会会议又未委托其他董事代为出席的董事，应对董事会决议承担相应的法律责任。</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lastRenderedPageBreak/>
        <w:t>第十条</w:t>
      </w:r>
      <w:r w:rsidR="00F60BDD">
        <w:rPr>
          <w:rFonts w:ascii="仿宋_GB2312" w:eastAsia="仿宋_GB2312" w:hAnsi="Arial" w:cs="Arial" w:hint="eastAsia"/>
          <w:color w:val="000000"/>
          <w:sz w:val="29"/>
          <w:szCs w:val="29"/>
        </w:rPr>
        <w:t>有下列情形之一的，</w:t>
      </w:r>
      <w:r w:rsidR="00F60BDD" w:rsidRPr="00F60BDD">
        <w:rPr>
          <w:rFonts w:ascii="仿宋_GB2312" w:eastAsia="仿宋_GB2312" w:hAnsi="Arial" w:cs="Arial" w:hint="eastAsia"/>
          <w:color w:val="000000"/>
          <w:sz w:val="29"/>
          <w:szCs w:val="29"/>
          <w:highlight w:val="yellow"/>
        </w:rPr>
        <w:t>应当召开</w:t>
      </w:r>
      <w:r w:rsidRPr="00F60BDD">
        <w:rPr>
          <w:rFonts w:ascii="仿宋_GB2312" w:eastAsia="仿宋_GB2312" w:hAnsi="Arial" w:cs="Arial" w:hint="eastAsia"/>
          <w:color w:val="000000"/>
          <w:sz w:val="29"/>
          <w:szCs w:val="29"/>
          <w:highlight w:val="yellow"/>
        </w:rPr>
        <w:t>临时董事会会议：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（一）董事长认为必要时；</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（二）代表10％以上表决权的股东提议时；</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（三）1/3以上董事联名提议时；</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w:t>
      </w:r>
      <w:r w:rsidRPr="0020748E">
        <w:rPr>
          <w:rFonts w:ascii="仿宋_GB2312" w:eastAsia="仿宋_GB2312" w:hAnsi="Arial" w:cs="Arial" w:hint="eastAsia"/>
          <w:color w:val="000000"/>
          <w:sz w:val="29"/>
          <w:szCs w:val="29"/>
          <w:highlight w:val="yellow"/>
        </w:rPr>
        <w:t>2名以上独立董事提议时</w:t>
      </w:r>
      <w:r>
        <w:rPr>
          <w:rFonts w:ascii="仿宋_GB2312" w:eastAsia="仿宋_GB2312" w:hAnsi="Arial" w:cs="Arial" w:hint="eastAsia"/>
          <w:color w:val="000000"/>
          <w:sz w:val="29"/>
          <w:szCs w:val="29"/>
        </w:rPr>
        <w:t>；</w:t>
      </w:r>
    </w:p>
    <w:p w:rsidR="001732E2"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Pr>
          <w:rFonts w:ascii="仿宋_GB2312" w:eastAsia="仿宋_GB2312" w:hAnsi="Arial" w:cs="Arial" w:hint="eastAsia"/>
          <w:color w:val="000000"/>
          <w:sz w:val="29"/>
          <w:szCs w:val="29"/>
        </w:rPr>
        <w:t>（五）监事会提议时；</w:t>
      </w:r>
    </w:p>
    <w:p w:rsidR="001732E2" w:rsidRDefault="00F33AFD" w:rsidP="001732E2">
      <w:pPr>
        <w:spacing w:before="68" w:after="68" w:line="480" w:lineRule="exact"/>
        <w:ind w:firstLineChars="200" w:firstLine="600"/>
        <w:rPr>
          <w:rFonts w:ascii="仿宋_GB2312" w:eastAsia="仿宋_GB2312" w:hAnsi="Arial" w:cs="Arial"/>
          <w:color w:val="000000"/>
          <w:sz w:val="29"/>
          <w:szCs w:val="29"/>
        </w:rPr>
      </w:pPr>
      <w:r>
        <w:rPr>
          <w:rFonts w:ascii="仿宋_GB2312" w:eastAsia="仿宋_GB2312" w:hint="eastAsia"/>
          <w:bCs/>
          <w:sz w:val="30"/>
          <w:szCs w:val="30"/>
        </w:rPr>
        <w:t>（六）法律法规、银行业监督管理机构及本章程规定的其他情形</w:t>
      </w:r>
      <w:r>
        <w:rPr>
          <w:rFonts w:ascii="仿宋_GB2312" w:eastAsia="仿宋_GB2312" w:hint="eastAsia"/>
          <w:sz w:val="30"/>
          <w:szCs w:val="30"/>
        </w:rPr>
        <w:t>。</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第十一条</w:t>
      </w:r>
      <w:r w:rsidR="00F60BDD">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董事会召开临时董事会会议的通知方式为：书面通知，包括挂号信、电报、电传及经确认收到的传真、电子邮件；通知时限为：</w:t>
      </w:r>
      <w:r w:rsidR="001732E2" w:rsidRPr="001732E2">
        <w:rPr>
          <w:rFonts w:ascii="仿宋_GB2312" w:eastAsia="仿宋_GB2312" w:hAnsi="Arial" w:cs="Arial" w:hint="eastAsia"/>
          <w:color w:val="000000"/>
          <w:sz w:val="29"/>
          <w:szCs w:val="29"/>
          <w:highlight w:val="yellow"/>
        </w:rPr>
        <w:t>会议召开前的五日</w:t>
      </w:r>
      <w:r>
        <w:rPr>
          <w:rFonts w:ascii="仿宋_GB2312" w:eastAsia="仿宋_GB2312" w:hAnsi="Arial" w:cs="Arial" w:hint="eastAsia"/>
          <w:color w:val="000000"/>
          <w:sz w:val="29"/>
          <w:szCs w:val="29"/>
        </w:rPr>
        <w:t>。</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第十二条</w:t>
      </w:r>
      <w:r>
        <w:rPr>
          <w:rFonts w:ascii="仿宋_GB2312" w:eastAsia="仿宋_GB2312" w:hAnsi="Arial" w:cs="Arial" w:hint="eastAsia"/>
          <w:color w:val="000000"/>
          <w:sz w:val="29"/>
          <w:szCs w:val="29"/>
        </w:rPr>
        <w:t>董事会会议通知包括以下内容：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（一）会议日期和地点；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（二）会议期限；</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（三）事由及议题；</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（四）发出通知的日期。</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第十三条</w:t>
      </w:r>
      <w:r>
        <w:rPr>
          <w:rFonts w:ascii="仿宋_GB2312" w:eastAsia="仿宋_GB2312" w:hAnsi="Arial" w:cs="Arial" w:hint="eastAsia"/>
          <w:color w:val="000000"/>
          <w:sz w:val="29"/>
          <w:szCs w:val="29"/>
        </w:rPr>
        <w:t>本行董事会秘书负责董事会会议的通知和文件准备工作，组织、协调相关部门编写会议文件，并保证其真实、准确、完整。</w:t>
      </w:r>
    </w:p>
    <w:p w:rsidR="00874E19"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Pr>
          <w:rStyle w:val="a7"/>
          <w:rFonts w:ascii="仿宋_GB2312" w:eastAsia="仿宋_GB2312" w:hAnsi="Arial" w:cs="Arial" w:hint="eastAsia"/>
          <w:color w:val="000000"/>
          <w:sz w:val="29"/>
          <w:szCs w:val="29"/>
        </w:rPr>
        <w:lastRenderedPageBreak/>
        <w:t xml:space="preserve">第十四条  </w:t>
      </w:r>
      <w:r>
        <w:rPr>
          <w:rFonts w:ascii="仿宋_GB2312" w:eastAsia="仿宋_GB2312" w:hAnsi="Arial" w:cs="Arial" w:hint="eastAsia"/>
          <w:color w:val="000000"/>
          <w:sz w:val="29"/>
          <w:szCs w:val="29"/>
        </w:rPr>
        <w:t>董事会会议材料应随会议通知同时送达。董事会会议通知、会议材料应同时送达银行保险监督管理机构，银行保险监督管理机构视情况决定是否派员列席会议。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第十五条</w:t>
      </w:r>
      <w:r w:rsidR="00F60BDD">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董事会可通知高级管理层派员列席董事会会议，列席人员构成、规模根据需要确定。</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第十六条  </w:t>
      </w:r>
      <w:r>
        <w:rPr>
          <w:rFonts w:ascii="仿宋_GB2312" w:eastAsia="仿宋_GB2312" w:hAnsi="Arial" w:cs="Arial" w:hint="eastAsia"/>
          <w:color w:val="000000"/>
          <w:sz w:val="29"/>
          <w:szCs w:val="29"/>
        </w:rPr>
        <w:t>董事会会议应当由二分之一以上的董事出席方可举行。董事会做出决议，必须经全体董事的过半数通过。</w:t>
      </w:r>
    </w:p>
    <w:p w:rsidR="00672B74"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Pr>
          <w:rFonts w:ascii="仿宋_GB2312" w:eastAsia="仿宋_GB2312" w:hAnsi="Arial" w:cs="Arial" w:hint="eastAsia"/>
          <w:b/>
          <w:bCs/>
          <w:color w:val="000000"/>
          <w:sz w:val="29"/>
          <w:szCs w:val="29"/>
        </w:rPr>
        <w:t xml:space="preserve">第十七条  </w:t>
      </w:r>
      <w:r>
        <w:rPr>
          <w:rFonts w:ascii="仿宋_GB2312" w:eastAsia="仿宋_GB2312" w:hAnsi="Arial" w:cs="Arial" w:hint="eastAsia"/>
          <w:color w:val="000000"/>
          <w:sz w:val="29"/>
          <w:szCs w:val="29"/>
        </w:rPr>
        <w:t>董事会会议应当由董事本人出席，董事因事不能出席的，可以书面委托同类别其他董事代为出席。</w:t>
      </w:r>
    </w:p>
    <w:p w:rsidR="001732E2"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Pr>
          <w:rFonts w:ascii="仿宋_GB2312" w:eastAsia="仿宋_GB2312" w:hAnsi="Arial" w:cs="Arial" w:hint="eastAsia"/>
          <w:color w:val="000000"/>
          <w:sz w:val="29"/>
          <w:szCs w:val="29"/>
        </w:rPr>
        <w:t>委托书应当载明代理人的姓名，代理事项、权限和有效期限，并由委托人签名或盖章。</w:t>
      </w:r>
    </w:p>
    <w:p w:rsidR="001732E2" w:rsidRDefault="00F33AFD">
      <w:pPr>
        <w:pStyle w:val="a6"/>
        <w:spacing w:before="68" w:beforeAutospacing="0" w:after="68" w:afterAutospacing="0" w:line="503" w:lineRule="atLeast"/>
        <w:ind w:firstLine="584"/>
        <w:rPr>
          <w:rFonts w:ascii="仿宋_GB2312" w:eastAsia="仿宋_GB2312" w:hAnsi="Arial" w:cs="Arial"/>
          <w:color w:val="000000"/>
          <w:sz w:val="29"/>
          <w:szCs w:val="29"/>
        </w:rPr>
      </w:pPr>
      <w:r>
        <w:rPr>
          <w:rFonts w:ascii="仿宋_GB2312" w:eastAsia="仿宋_GB2312" w:hAnsi="Arial" w:cs="Arial" w:hint="eastAsia"/>
          <w:color w:val="000000"/>
          <w:sz w:val="29"/>
          <w:szCs w:val="29"/>
        </w:rPr>
        <w:t>代为出席会议的董事应当在授权范围内行使董事的权利。董事未出席董事会会议，亦未委托代表出席的，视为放弃在该次会议上的投票权。</w:t>
      </w:r>
    </w:p>
    <w:p w:rsidR="00672B74" w:rsidRPr="00672B74" w:rsidRDefault="00672B74" w:rsidP="00672B74">
      <w:pPr>
        <w:pStyle w:val="a6"/>
        <w:spacing w:before="68" w:beforeAutospacing="0" w:after="68" w:afterAutospacing="0" w:line="503" w:lineRule="atLeast"/>
        <w:ind w:firstLine="584"/>
        <w:rPr>
          <w:rFonts w:ascii="仿宋_GB2312" w:eastAsia="仿宋_GB2312" w:hAnsi="Arial" w:cs="Arial"/>
          <w:color w:val="000000"/>
          <w:sz w:val="29"/>
          <w:szCs w:val="29"/>
        </w:rPr>
      </w:pPr>
      <w:r w:rsidRPr="00804BE0">
        <w:rPr>
          <w:rFonts w:ascii="仿宋_GB2312" w:eastAsia="仿宋_GB2312" w:hAnsi="Arial" w:cs="Arial" w:hint="eastAsia"/>
          <w:color w:val="000000"/>
          <w:sz w:val="29"/>
          <w:szCs w:val="29"/>
          <w:highlight w:val="yellow"/>
        </w:rPr>
        <w:t>一名董事原则上最多接受两名未亲自出席会议董事的委托。在审议关联交易事项时，非关联董事不得委托关联董事代为出席。</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第十八条</w:t>
      </w:r>
      <w:r w:rsidR="00F60BDD">
        <w:rPr>
          <w:rStyle w:val="a7"/>
          <w:rFonts w:ascii="仿宋_GB2312" w:eastAsia="仿宋_GB2312" w:hAnsi="Arial" w:cs="Arial" w:hint="eastAsia"/>
          <w:color w:val="000000"/>
          <w:sz w:val="29"/>
          <w:szCs w:val="29"/>
        </w:rPr>
        <w:t xml:space="preserve">  </w:t>
      </w:r>
      <w:r>
        <w:rPr>
          <w:rFonts w:ascii="仿宋_GB2312" w:eastAsia="仿宋_GB2312" w:hAnsi="Arial" w:cs="Arial" w:hint="eastAsia"/>
          <w:color w:val="000000"/>
          <w:sz w:val="29"/>
          <w:szCs w:val="29"/>
        </w:rPr>
        <w:t>本行董事（包括独立董事）应当投入足够的时间履行职责。董事应当每年亲自出席至少三分之二以上的董事会会议。董事若未能亲自出席三分之二以上的会议或连续二次未能亲自出席，也不委托其他董事出席董事会会议，视为不能履行职责，董事会应当建议股东大会予以撤换。</w:t>
      </w:r>
    </w:p>
    <w:p w:rsidR="001732E2" w:rsidRDefault="00F33AFD">
      <w:pPr>
        <w:pStyle w:val="a6"/>
        <w:spacing w:before="136" w:beforeAutospacing="0" w:after="136" w:afterAutospacing="0" w:line="503" w:lineRule="atLeast"/>
        <w:jc w:val="center"/>
        <w:rPr>
          <w:rFonts w:ascii="Arial" w:hAnsi="Arial" w:cs="Arial"/>
          <w:color w:val="000000"/>
          <w:sz w:val="22"/>
          <w:szCs w:val="22"/>
        </w:rPr>
      </w:pPr>
      <w:r>
        <w:rPr>
          <w:rFonts w:ascii="黑体" w:eastAsia="黑体" w:hAnsi="Arial" w:cs="Arial" w:hint="eastAsia"/>
          <w:color w:val="000000"/>
          <w:sz w:val="29"/>
          <w:szCs w:val="29"/>
        </w:rPr>
        <w:lastRenderedPageBreak/>
        <w:t>第四章  会议议案的审议和表决</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第十九条  </w:t>
      </w:r>
      <w:r>
        <w:rPr>
          <w:rFonts w:ascii="仿宋_GB2312" w:eastAsia="仿宋_GB2312" w:hAnsi="Arial" w:cs="Arial" w:hint="eastAsia"/>
          <w:color w:val="000000"/>
          <w:sz w:val="29"/>
          <w:szCs w:val="29"/>
        </w:rPr>
        <w:t>董事会议案的确定，主要依据以下情况：</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（一）最近一次股东大会决议的内容和授权事项；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（二）上一次董事会会议确定的事项；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（三）董事长认为必要的，或三分之一董事联名提议的事项；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（四）监事会提议的事项；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（五）行长提议的事项；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（六）本行外部因素影响必须做出决定的事项。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第二十条  </w:t>
      </w:r>
      <w:r>
        <w:rPr>
          <w:rFonts w:ascii="仿宋_GB2312" w:eastAsia="仿宋_GB2312" w:hAnsi="Arial" w:cs="Arial" w:hint="eastAsia"/>
          <w:color w:val="000000"/>
          <w:sz w:val="29"/>
          <w:szCs w:val="29"/>
        </w:rPr>
        <w:t>董事会召开时，会议主持人宣布会议议题，并根据会议议题主持议事。董事会会议对审议事项应逐项讨论和表决。会议主持人应当充分听取与会董事的意见，控制会议进程、提高议事效率。</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第二十一条</w:t>
      </w:r>
      <w:r>
        <w:rPr>
          <w:rFonts w:ascii="仿宋_GB2312" w:eastAsia="仿宋_GB2312" w:hAnsi="Arial" w:cs="Arial" w:hint="eastAsia"/>
          <w:color w:val="000000"/>
          <w:sz w:val="29"/>
          <w:szCs w:val="29"/>
        </w:rPr>
        <w:t>董事会会议原则上不审议在会议通知上未列明的议案。特殊情况下需增加新的议案时，应由到会董事的三分之二以上同意。必要时，董事长或会议主持人可启用表决程序对是否新增议题或事项进行表决。</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第二十二条  </w:t>
      </w:r>
      <w:r>
        <w:rPr>
          <w:rFonts w:ascii="仿宋_GB2312" w:eastAsia="仿宋_GB2312" w:hAnsi="Arial" w:cs="Arial" w:hint="eastAsia"/>
          <w:color w:val="000000"/>
          <w:sz w:val="29"/>
          <w:szCs w:val="29"/>
        </w:rPr>
        <w:t>出席董事会会议的董事在审议和表决有关议案时，应本着对本行认真负责的态度对所议事项充分、明确地表达个人意见。独立董事还应就《章程》规定的重大事项发表独立意见。</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lastRenderedPageBreak/>
        <w:t>第二十三条</w:t>
      </w:r>
      <w:r>
        <w:rPr>
          <w:rFonts w:ascii="仿宋_GB2312" w:eastAsia="仿宋_GB2312" w:hAnsi="Arial" w:cs="Arial" w:hint="eastAsia"/>
          <w:color w:val="000000"/>
          <w:sz w:val="29"/>
          <w:szCs w:val="29"/>
        </w:rPr>
        <w:t>董事会讨论重大问题，如有相持意见或认为议案存在疑问，由会议主持人决定是否暂缓表决，待进一步调查研究后，提交下次会议表决。</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第二十四条  </w:t>
      </w:r>
      <w:r>
        <w:rPr>
          <w:rFonts w:ascii="仿宋_GB2312" w:eastAsia="仿宋_GB2312" w:hAnsi="Arial" w:cs="Arial" w:hint="eastAsia"/>
          <w:color w:val="000000"/>
          <w:sz w:val="29"/>
          <w:szCs w:val="29"/>
        </w:rPr>
        <w:t>列席董事会会议的本行监事、高级管理人员对董事会讨论的事项可以充分发表自己的建议和意见，供董事会决策时参考，但没有表决权。</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第二十五条  </w:t>
      </w:r>
      <w:r>
        <w:rPr>
          <w:rFonts w:ascii="仿宋_GB2312" w:eastAsia="仿宋_GB2312" w:hAnsi="Arial" w:cs="Arial" w:hint="eastAsia"/>
          <w:color w:val="000000"/>
          <w:sz w:val="29"/>
          <w:szCs w:val="29"/>
        </w:rPr>
        <w:t>董事会以会议形式对拟决议事项进行决议，决议表决方式为记名投票表决。每名董事有一票表决权。符合以下条件时，董事会会议可以采取传真等</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的形式：</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（一）</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事项不属于《章程》规定的重大事项；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事项至少在表决前三日内送达全体董事，并提供会议议题的相关背景资料和有助于董事作出决策的相关信息和数据；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（三）董事可以充分表达意见；</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采取一事一表决的形式，不得要求董事对多个事项只作出一个表决；</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（五）</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应当确有必要；</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（六）明确</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时限，表决时限结束当日通知董事表决结果。</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第二十六条</w:t>
      </w:r>
      <w:r>
        <w:rPr>
          <w:rFonts w:ascii="仿宋_GB2312" w:eastAsia="仿宋_GB2312" w:hAnsi="Arial" w:cs="Arial" w:hint="eastAsia"/>
          <w:color w:val="000000"/>
          <w:sz w:val="29"/>
          <w:szCs w:val="29"/>
        </w:rPr>
        <w:t>董事与董事会会议决议事项有关联关系的，不得对该项决议行使表决权，也不得代理其他董事行使表决权。董事会会</w:t>
      </w:r>
      <w:r>
        <w:rPr>
          <w:rFonts w:ascii="仿宋_GB2312" w:eastAsia="仿宋_GB2312" w:hAnsi="Arial" w:cs="Arial" w:hint="eastAsia"/>
          <w:color w:val="000000"/>
          <w:sz w:val="29"/>
          <w:szCs w:val="29"/>
        </w:rPr>
        <w:lastRenderedPageBreak/>
        <w:t>议由过半数的无关联关系董事出席方可举行，董事会会议所作决议须经无关联关系董事过半数通过。出席董事会的无关联董事人数不足3人的，应将该事项提交股东大会审议。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董事会审议有关关联交易事项时，关联董事应回避，不参与表决。关联董事可以自行回避，也可以由其他参加董事会的董事提出回避请求。</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董事会审议股东需以本行股份为自己或他人向本行以外的金融机构担保事项时，其</w:t>
      </w:r>
      <w:r w:rsidR="00672B74" w:rsidRPr="00672B74">
        <w:rPr>
          <w:rFonts w:ascii="仿宋_GB2312" w:eastAsia="仿宋_GB2312" w:hAnsi="Arial" w:cs="Arial" w:hint="eastAsia"/>
          <w:color w:val="000000"/>
          <w:sz w:val="29"/>
          <w:szCs w:val="29"/>
          <w:highlight w:val="yellow"/>
        </w:rPr>
        <w:t>关联</w:t>
      </w:r>
      <w:r w:rsidRPr="00672B74">
        <w:rPr>
          <w:rFonts w:ascii="仿宋_GB2312" w:eastAsia="仿宋_GB2312" w:hAnsi="Arial" w:cs="Arial" w:hint="eastAsia"/>
          <w:color w:val="000000"/>
          <w:sz w:val="29"/>
          <w:szCs w:val="29"/>
          <w:highlight w:val="yellow"/>
        </w:rPr>
        <w:t>董事</w:t>
      </w:r>
      <w:r>
        <w:rPr>
          <w:rFonts w:ascii="仿宋_GB2312" w:eastAsia="仿宋_GB2312" w:hAnsi="Arial" w:cs="Arial" w:hint="eastAsia"/>
          <w:color w:val="000000"/>
          <w:sz w:val="29"/>
          <w:szCs w:val="29"/>
        </w:rPr>
        <w:t>应当回避。</w:t>
      </w:r>
    </w:p>
    <w:p w:rsidR="001732E2" w:rsidRDefault="00F33AFD">
      <w:pPr>
        <w:pStyle w:val="a6"/>
        <w:spacing w:before="136" w:beforeAutospacing="0" w:after="136" w:afterAutospacing="0" w:line="503" w:lineRule="atLeast"/>
        <w:jc w:val="center"/>
        <w:rPr>
          <w:rFonts w:ascii="Arial" w:hAnsi="Arial" w:cs="Arial"/>
          <w:color w:val="000000"/>
          <w:sz w:val="22"/>
          <w:szCs w:val="22"/>
        </w:rPr>
      </w:pPr>
      <w:r>
        <w:rPr>
          <w:rFonts w:ascii="黑体" w:eastAsia="黑体" w:hAnsi="Arial" w:cs="Arial" w:hint="eastAsia"/>
          <w:color w:val="000000"/>
          <w:sz w:val="29"/>
          <w:szCs w:val="29"/>
        </w:rPr>
        <w:t>第五章  会议记录和决议</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第二十七条</w:t>
      </w:r>
      <w:r>
        <w:rPr>
          <w:rFonts w:ascii="仿宋_GB2312" w:eastAsia="仿宋_GB2312" w:hAnsi="Arial" w:cs="Arial" w:hint="eastAsia"/>
          <w:color w:val="000000"/>
          <w:sz w:val="29"/>
          <w:szCs w:val="29"/>
        </w:rPr>
        <w:t>董事会作出决议，必须经全体董事半数以上通过。本行董事会对审议利润分配方案、</w:t>
      </w:r>
      <w:r w:rsidR="00804BE0" w:rsidRPr="00804BE0">
        <w:rPr>
          <w:rFonts w:ascii="仿宋_GB2312" w:eastAsia="仿宋_GB2312" w:hAnsi="Arial" w:cs="Arial" w:hint="eastAsia"/>
          <w:color w:val="000000"/>
          <w:sz w:val="29"/>
          <w:szCs w:val="29"/>
          <w:highlight w:val="yellow"/>
        </w:rPr>
        <w:t>薪酬方案、</w:t>
      </w:r>
      <w:r>
        <w:rPr>
          <w:rFonts w:ascii="仿宋_GB2312" w:eastAsia="仿宋_GB2312" w:hAnsi="Arial" w:cs="Arial" w:hint="eastAsia"/>
          <w:color w:val="000000"/>
          <w:sz w:val="29"/>
          <w:szCs w:val="29"/>
        </w:rPr>
        <w:t>重大投资、资本规划与补充、增加或减少注册资本、重大资产处置方案、聘任或解聘高级管理人员、拟定本行《章程》的修改方案、股份收购、重大股权变动及财务重组、股权激励、对外担保、发行债券、本行的合并、分立、解散和变更组织形式等重大事项不应采取</w:t>
      </w:r>
      <w:r w:rsidR="00874E19" w:rsidRPr="00874E19">
        <w:rPr>
          <w:rFonts w:ascii="仿宋_GB2312" w:eastAsia="仿宋_GB2312" w:hAnsi="Arial" w:cs="Arial" w:hint="eastAsia"/>
          <w:color w:val="000000"/>
          <w:sz w:val="29"/>
          <w:szCs w:val="29"/>
          <w:highlight w:val="yellow"/>
        </w:rPr>
        <w:t>书面传签</w:t>
      </w:r>
      <w:r>
        <w:rPr>
          <w:rFonts w:ascii="仿宋_GB2312" w:eastAsia="仿宋_GB2312" w:hAnsi="Arial" w:cs="Arial" w:hint="eastAsia"/>
          <w:color w:val="000000"/>
          <w:sz w:val="29"/>
          <w:szCs w:val="29"/>
        </w:rPr>
        <w:t>方式，且应当由董事会2/3以上董事通过方可有效。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第二十八条</w:t>
      </w:r>
      <w:r>
        <w:rPr>
          <w:rFonts w:ascii="仿宋_GB2312" w:eastAsia="仿宋_GB2312" w:hAnsi="Arial" w:cs="Arial" w:hint="eastAsia"/>
          <w:color w:val="000000"/>
          <w:sz w:val="29"/>
          <w:szCs w:val="29"/>
        </w:rPr>
        <w:t>董事应当在董事会决议上签字并对董事会的决议承担责任。董事会的决议违反国家法律、法规或者章程，致使本行遭受损失的，参与决议的董事对本行负赔偿责任。但经证明在表决时曾表明异议并记载于会议记录的董事可以免除责任。</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lastRenderedPageBreak/>
        <w:t xml:space="preserve">第二十九条  </w:t>
      </w:r>
      <w:r>
        <w:rPr>
          <w:rFonts w:ascii="仿宋_GB2312" w:eastAsia="仿宋_GB2312" w:hAnsi="Arial" w:cs="Arial" w:hint="eastAsia"/>
          <w:color w:val="000000"/>
          <w:sz w:val="29"/>
          <w:szCs w:val="29"/>
        </w:rPr>
        <w:t>董事会会议应当有会议记录，出席会议的董事和记录人应当在会议记录上签名。出席会议的董事有权要求在记录上对其在会议上的发言做出说明性记载。董事会会议记录作为本行档案由董事会秘书永久保存。</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第三十条</w:t>
      </w:r>
      <w:r>
        <w:rPr>
          <w:rFonts w:ascii="仿宋_GB2312" w:eastAsia="仿宋_GB2312" w:hAnsi="Arial" w:cs="Arial" w:hint="eastAsia"/>
          <w:color w:val="000000"/>
          <w:sz w:val="29"/>
          <w:szCs w:val="29"/>
        </w:rPr>
        <w:t>董事会会议记录包括以下内容：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sidRPr="00874E19">
        <w:rPr>
          <w:rFonts w:ascii="仿宋_GB2312" w:eastAsia="仿宋_GB2312" w:hAnsi="Arial" w:cs="Arial" w:hint="eastAsia"/>
          <w:color w:val="000000"/>
          <w:sz w:val="29"/>
          <w:szCs w:val="29"/>
          <w:highlight w:val="yellow"/>
        </w:rPr>
        <w:t>（一）会议召开的日期、地点、方式和召集人和主持人姓名；</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（二）出席董事的姓名以及受他人委托出席董事会的董事（代理人）姓名；</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（三）会议议程；</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（四）董事发言要点；</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Fonts w:ascii="仿宋_GB2312" w:eastAsia="仿宋_GB2312" w:hAnsi="Arial" w:cs="Arial" w:hint="eastAsia"/>
          <w:color w:val="000000"/>
          <w:sz w:val="29"/>
          <w:szCs w:val="29"/>
        </w:rPr>
        <w:t>（五）每一决议事项的表决方式和结果（表决结果应载明赞成、反对或弃权的票数）。</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第三十一条</w:t>
      </w:r>
      <w:r>
        <w:rPr>
          <w:rFonts w:ascii="仿宋_GB2312" w:eastAsia="仿宋_GB2312" w:hAnsi="Arial" w:cs="Arial" w:hint="eastAsia"/>
          <w:color w:val="000000"/>
          <w:sz w:val="29"/>
          <w:szCs w:val="29"/>
        </w:rPr>
        <w:t>董事会办公室负责督办董事会决议的执行情况，董事长在以后的董事会会议上通报已经形成的决议的执行情况。董事有权就董事会决议执行情况向有关执行者提出质询。</w:t>
      </w:r>
    </w:p>
    <w:p w:rsidR="001732E2" w:rsidRDefault="00F33AFD">
      <w:pPr>
        <w:pStyle w:val="a6"/>
        <w:spacing w:before="136" w:beforeAutospacing="0" w:after="136" w:afterAutospacing="0" w:line="503" w:lineRule="atLeast"/>
        <w:jc w:val="center"/>
        <w:rPr>
          <w:rFonts w:ascii="Arial" w:hAnsi="Arial" w:cs="Arial"/>
          <w:color w:val="000000"/>
          <w:sz w:val="22"/>
          <w:szCs w:val="22"/>
        </w:rPr>
      </w:pPr>
      <w:r>
        <w:rPr>
          <w:rFonts w:ascii="黑体" w:eastAsia="黑体" w:hAnsi="Arial" w:cs="Arial" w:hint="eastAsia"/>
          <w:color w:val="000000"/>
          <w:sz w:val="29"/>
          <w:szCs w:val="29"/>
        </w:rPr>
        <w:t>第六章  附  则</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 xml:space="preserve">第三十二条  </w:t>
      </w:r>
      <w:r>
        <w:rPr>
          <w:rFonts w:ascii="仿宋_GB2312" w:eastAsia="仿宋_GB2312" w:hAnsi="Arial" w:cs="Arial" w:hint="eastAsia"/>
          <w:color w:val="000000"/>
          <w:sz w:val="29"/>
          <w:szCs w:val="29"/>
        </w:rPr>
        <w:t>本议事规则自股东大会通过之日起生效。</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t>第三十三条</w:t>
      </w:r>
      <w:r>
        <w:rPr>
          <w:rFonts w:ascii="仿宋_GB2312" w:eastAsia="仿宋_GB2312" w:hAnsi="Arial" w:cs="Arial" w:hint="eastAsia"/>
          <w:color w:val="000000"/>
          <w:sz w:val="29"/>
          <w:szCs w:val="29"/>
        </w:rPr>
        <w:t>本议事规则未尽事宜，本行应依照有关法律、法规、规章及《章程》的规定执行。本议事规则与法律、法规、规章或《章程》的规定不一致的，以法律、法规、规章或《章程》的规定为准。</w:t>
      </w:r>
    </w:p>
    <w:p w:rsidR="001732E2" w:rsidRDefault="00F33AFD">
      <w:pPr>
        <w:pStyle w:val="a6"/>
        <w:spacing w:before="68" w:beforeAutospacing="0" w:after="68" w:afterAutospacing="0" w:line="503" w:lineRule="atLeast"/>
        <w:ind w:firstLine="584"/>
        <w:rPr>
          <w:rFonts w:ascii="Arial" w:hAnsi="Arial" w:cs="Arial"/>
          <w:color w:val="000000"/>
          <w:sz w:val="22"/>
          <w:szCs w:val="22"/>
        </w:rPr>
      </w:pPr>
      <w:r>
        <w:rPr>
          <w:rStyle w:val="a7"/>
          <w:rFonts w:ascii="仿宋_GB2312" w:eastAsia="仿宋_GB2312" w:hAnsi="Arial" w:cs="Arial" w:hint="eastAsia"/>
          <w:color w:val="000000"/>
          <w:sz w:val="29"/>
          <w:szCs w:val="29"/>
        </w:rPr>
        <w:lastRenderedPageBreak/>
        <w:t xml:space="preserve">第三十四条  </w:t>
      </w:r>
      <w:r>
        <w:rPr>
          <w:rFonts w:ascii="仿宋_GB2312" w:eastAsia="仿宋_GB2312" w:hAnsi="Arial" w:cs="Arial" w:hint="eastAsia"/>
          <w:color w:val="000000"/>
          <w:sz w:val="29"/>
          <w:szCs w:val="29"/>
        </w:rPr>
        <w:t>本议事规则解释权和修改权属本行董事会</w:t>
      </w:r>
      <w:r w:rsidR="0026412F">
        <w:rPr>
          <w:rFonts w:ascii="仿宋_GB2312" w:eastAsia="仿宋_GB2312" w:hAnsi="Arial" w:cs="Arial" w:hint="eastAsia"/>
          <w:color w:val="000000"/>
          <w:sz w:val="29"/>
          <w:szCs w:val="29"/>
        </w:rPr>
        <w:t>，</w:t>
      </w:r>
      <w:r w:rsidR="0026412F" w:rsidRPr="0026412F">
        <w:rPr>
          <w:rFonts w:ascii="仿宋_GB2312" w:eastAsia="仿宋_GB2312" w:hAnsi="Arial" w:cs="Arial" w:hint="eastAsia"/>
          <w:color w:val="000000"/>
          <w:sz w:val="29"/>
          <w:szCs w:val="29"/>
          <w:highlight w:val="yellow"/>
        </w:rPr>
        <w:t>原《江苏扬州农村商业银行股份有限公司董事会议事规则》</w:t>
      </w:r>
      <w:r w:rsidR="0026412F" w:rsidRPr="0026412F">
        <w:rPr>
          <w:rFonts w:ascii="仿宋_GB2312" w:eastAsia="仿宋_GB2312" w:hAnsi="Arial" w:cs="Arial"/>
          <w:color w:val="000000"/>
          <w:sz w:val="29"/>
          <w:szCs w:val="29"/>
          <w:highlight w:val="yellow"/>
        </w:rPr>
        <w:t>扬商银发〔2021〕353号</w:t>
      </w:r>
      <w:r w:rsidR="0026412F" w:rsidRPr="0026412F">
        <w:rPr>
          <w:rFonts w:ascii="仿宋_GB2312" w:eastAsia="仿宋_GB2312" w:hAnsi="Arial" w:cs="Arial" w:hint="eastAsia"/>
          <w:color w:val="000000"/>
          <w:sz w:val="29"/>
          <w:szCs w:val="29"/>
          <w:highlight w:val="yellow"/>
        </w:rPr>
        <w:t>废止</w:t>
      </w:r>
      <w:r w:rsidRPr="0026412F">
        <w:rPr>
          <w:rFonts w:ascii="仿宋_GB2312" w:eastAsia="仿宋_GB2312" w:hAnsi="Arial" w:cs="Arial" w:hint="eastAsia"/>
          <w:color w:val="000000"/>
          <w:sz w:val="29"/>
          <w:szCs w:val="29"/>
          <w:highlight w:val="yellow"/>
        </w:rPr>
        <w:t>。</w:t>
      </w:r>
    </w:p>
    <w:p w:rsidR="001732E2" w:rsidRPr="0026412F" w:rsidRDefault="001732E2"/>
    <w:sectPr w:rsidR="001732E2" w:rsidRPr="0026412F" w:rsidSect="001732E2">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F57F96" w15:done="0"/>
  <w15:commentEx w15:paraId="323B4E4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615" w:rsidRDefault="004C6615" w:rsidP="00792700">
      <w:r>
        <w:separator/>
      </w:r>
    </w:p>
  </w:endnote>
  <w:endnote w:type="continuationSeparator" w:id="1">
    <w:p w:rsidR="004C6615" w:rsidRDefault="004C6615" w:rsidP="007927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615" w:rsidRDefault="004C6615" w:rsidP="00792700">
      <w:r>
        <w:separator/>
      </w:r>
    </w:p>
  </w:footnote>
  <w:footnote w:type="continuationSeparator" w:id="1">
    <w:p w:rsidR="004C6615" w:rsidRDefault="004C6615" w:rsidP="007927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E6B294"/>
    <w:multiLevelType w:val="singleLevel"/>
    <w:tmpl w:val="A2E6B294"/>
    <w:lvl w:ilvl="0">
      <w:start w:val="8"/>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6D60"/>
    <w:rsid w:val="00007055"/>
    <w:rsid w:val="00007745"/>
    <w:rsid w:val="00067DD7"/>
    <w:rsid w:val="001732E2"/>
    <w:rsid w:val="001E7C89"/>
    <w:rsid w:val="0020748E"/>
    <w:rsid w:val="00257C22"/>
    <w:rsid w:val="0026412F"/>
    <w:rsid w:val="00266D08"/>
    <w:rsid w:val="003F08BF"/>
    <w:rsid w:val="004A2F37"/>
    <w:rsid w:val="004C6615"/>
    <w:rsid w:val="004F7B7B"/>
    <w:rsid w:val="005423F3"/>
    <w:rsid w:val="005C2B35"/>
    <w:rsid w:val="00612446"/>
    <w:rsid w:val="00672B74"/>
    <w:rsid w:val="00792700"/>
    <w:rsid w:val="007C1964"/>
    <w:rsid w:val="007D7F9A"/>
    <w:rsid w:val="00804BE0"/>
    <w:rsid w:val="00874E19"/>
    <w:rsid w:val="00966B97"/>
    <w:rsid w:val="009D7C00"/>
    <w:rsid w:val="009E77B3"/>
    <w:rsid w:val="00A00546"/>
    <w:rsid w:val="00A5642E"/>
    <w:rsid w:val="00B148B7"/>
    <w:rsid w:val="00B36D60"/>
    <w:rsid w:val="00B62912"/>
    <w:rsid w:val="00B93EC0"/>
    <w:rsid w:val="00B9524D"/>
    <w:rsid w:val="00C01019"/>
    <w:rsid w:val="00C71E03"/>
    <w:rsid w:val="00D30699"/>
    <w:rsid w:val="00D74876"/>
    <w:rsid w:val="00E100CA"/>
    <w:rsid w:val="00E43A83"/>
    <w:rsid w:val="00E72AE6"/>
    <w:rsid w:val="00F02745"/>
    <w:rsid w:val="00F2042C"/>
    <w:rsid w:val="00F33AFD"/>
    <w:rsid w:val="00F60BDD"/>
    <w:rsid w:val="146B0E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2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1732E2"/>
    <w:pPr>
      <w:jc w:val="left"/>
    </w:pPr>
  </w:style>
  <w:style w:type="paragraph" w:styleId="a4">
    <w:name w:val="footer"/>
    <w:basedOn w:val="a"/>
    <w:link w:val="Char"/>
    <w:uiPriority w:val="99"/>
    <w:semiHidden/>
    <w:unhideWhenUsed/>
    <w:rsid w:val="001732E2"/>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1732E2"/>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1732E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732E2"/>
    <w:rPr>
      <w:b/>
      <w:bCs/>
    </w:rPr>
  </w:style>
  <w:style w:type="character" w:customStyle="1" w:styleId="Char0">
    <w:name w:val="页眉 Char"/>
    <w:basedOn w:val="a0"/>
    <w:link w:val="a5"/>
    <w:uiPriority w:val="99"/>
    <w:semiHidden/>
    <w:rsid w:val="001732E2"/>
    <w:rPr>
      <w:sz w:val="18"/>
      <w:szCs w:val="18"/>
    </w:rPr>
  </w:style>
  <w:style w:type="character" w:customStyle="1" w:styleId="Char">
    <w:name w:val="页脚 Char"/>
    <w:basedOn w:val="a0"/>
    <w:link w:val="a4"/>
    <w:uiPriority w:val="99"/>
    <w:semiHidden/>
    <w:rsid w:val="001732E2"/>
    <w:rPr>
      <w:sz w:val="18"/>
      <w:szCs w:val="18"/>
    </w:rPr>
  </w:style>
  <w:style w:type="character" w:customStyle="1" w:styleId="apple-converted-space">
    <w:name w:val="apple-converted-space"/>
    <w:basedOn w:val="a0"/>
    <w:rsid w:val="001732E2"/>
  </w:style>
  <w:style w:type="character" w:styleId="a8">
    <w:name w:val="annotation reference"/>
    <w:basedOn w:val="a0"/>
    <w:uiPriority w:val="99"/>
    <w:semiHidden/>
    <w:unhideWhenUsed/>
    <w:rsid w:val="001732E2"/>
    <w:rPr>
      <w:sz w:val="21"/>
      <w:szCs w:val="21"/>
    </w:rPr>
  </w:style>
  <w:style w:type="paragraph" w:styleId="a9">
    <w:name w:val="Balloon Text"/>
    <w:basedOn w:val="a"/>
    <w:link w:val="Char1"/>
    <w:uiPriority w:val="99"/>
    <w:semiHidden/>
    <w:unhideWhenUsed/>
    <w:rsid w:val="00792700"/>
    <w:rPr>
      <w:sz w:val="18"/>
      <w:szCs w:val="18"/>
    </w:rPr>
  </w:style>
  <w:style w:type="character" w:customStyle="1" w:styleId="Char1">
    <w:name w:val="批注框文本 Char"/>
    <w:basedOn w:val="a0"/>
    <w:link w:val="a9"/>
    <w:uiPriority w:val="99"/>
    <w:semiHidden/>
    <w:rsid w:val="00792700"/>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14</Pages>
  <Words>868</Words>
  <Characters>4954</Characters>
  <Application>Microsoft Office Word</Application>
  <DocSecurity>0</DocSecurity>
  <Lines>41</Lines>
  <Paragraphs>11</Paragraphs>
  <ScaleCrop>false</ScaleCrop>
  <Company>ITianKong.Com</Company>
  <LinksUpToDate>false</LinksUpToDate>
  <CharactersWithSpaces>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陈超（女）</dc:creator>
  <cp:lastModifiedBy>陈超（女）</cp:lastModifiedBy>
  <cp:revision>16</cp:revision>
  <dcterms:created xsi:type="dcterms:W3CDTF">2021-01-15T06:30:00Z</dcterms:created>
  <dcterms:modified xsi:type="dcterms:W3CDTF">2022-04-22T09:17:00Z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B7B5AF928F85475481024B02EDE6D0CE</vt:lpwstr>
  </property>
</Properties>
</file>