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1EF" w:rsidRDefault="00504491">
      <w:pPr>
        <w:tabs>
          <w:tab w:val="right" w:pos="8505"/>
        </w:tabs>
        <w:snapToGrid w:val="0"/>
        <w:spacing w:line="560" w:lineRule="exact"/>
        <w:jc w:val="center"/>
        <w:rPr>
          <w:rFonts w:eastAsia="方正小标宋简体"/>
          <w:kern w:val="2"/>
          <w:sz w:val="44"/>
          <w:szCs w:val="44"/>
        </w:rPr>
      </w:pPr>
      <w:r>
        <w:rPr>
          <w:rFonts w:eastAsia="方正小标宋简体" w:hint="eastAsia"/>
          <w:kern w:val="2"/>
          <w:sz w:val="44"/>
          <w:szCs w:val="44"/>
        </w:rPr>
        <w:t>江苏扬州农村商业银行股份有限公司</w:t>
      </w:r>
    </w:p>
    <w:p w:rsidR="003861EF" w:rsidRDefault="00504491">
      <w:pPr>
        <w:tabs>
          <w:tab w:val="right" w:pos="8505"/>
        </w:tabs>
        <w:snapToGrid w:val="0"/>
        <w:spacing w:line="560" w:lineRule="exact"/>
        <w:jc w:val="center"/>
        <w:rPr>
          <w:rFonts w:eastAsia="方正小标宋简体"/>
          <w:kern w:val="2"/>
          <w:sz w:val="44"/>
          <w:szCs w:val="44"/>
        </w:rPr>
      </w:pPr>
      <w:r>
        <w:rPr>
          <w:rFonts w:eastAsia="方正小标宋简体" w:hint="eastAsia"/>
          <w:kern w:val="2"/>
          <w:sz w:val="44"/>
          <w:szCs w:val="44"/>
        </w:rPr>
        <w:t>股权管理办法</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第一章  总  则</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第一条 </w:t>
      </w:r>
      <w:r>
        <w:rPr>
          <w:rFonts w:ascii="仿宋_GB2312" w:hint="eastAsia"/>
          <w:kern w:val="2"/>
          <w:sz w:val="32"/>
          <w:szCs w:val="32"/>
        </w:rPr>
        <w:t xml:space="preserve"> 为进一步加强江苏扬州农村商业银行股份有限公司（以下简称“本行”）的股权管理，规范股本金募集、登记、托管、质押、转让和重大信息报告等事项，根据《中华人民共和国公司法》、《中华人民共和国商业银行法》、《商业银行股权管理暂行办法》（银保监会令〔2018〕1号）、《中国银保监会关于加强商业银行股权质押管理的通知》（银监发〔2013〕43号）和《中国银保监会农村中小金融机构行政许可事项实施办法》（银保监会令</w:t>
      </w:r>
      <w:r>
        <w:rPr>
          <w:rFonts w:ascii="仿宋_GB2312" w:hint="eastAsia"/>
          <w:kern w:val="2"/>
          <w:sz w:val="32"/>
          <w:szCs w:val="32"/>
          <w:highlight w:val="yellow"/>
        </w:rPr>
        <w:t>〔2019〕9号</w:t>
      </w:r>
      <w:r>
        <w:rPr>
          <w:rFonts w:ascii="仿宋_GB2312" w:hint="eastAsia"/>
          <w:kern w:val="2"/>
          <w:sz w:val="32"/>
          <w:szCs w:val="32"/>
        </w:rPr>
        <w:t>）等有关文件精神及本行章程规定，制定本办法。</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第二条  </w:t>
      </w:r>
      <w:r>
        <w:rPr>
          <w:rFonts w:ascii="仿宋_GB2312" w:hint="eastAsia"/>
          <w:kern w:val="2"/>
          <w:sz w:val="32"/>
          <w:szCs w:val="32"/>
        </w:rPr>
        <w:t>本行股权管理遵循分类管理、资质优良、关系清晰、权责明确、公开透明原则。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本行股东应当具有良好的社会声誉、诚信记录、纳税记录和财务状况，符合法律法规规定和监管要求。</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本行股东及其控股股东、实际控制人、关联方、一致行动人、最终受益人等各方关系应当清晰透明。</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第二章　职责与权限</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第三条 </w:t>
      </w:r>
      <w:r>
        <w:rPr>
          <w:rFonts w:ascii="仿宋_GB2312" w:eastAsia="仿宋_GB2312" w:hint="eastAsia"/>
          <w:kern w:val="2"/>
          <w:sz w:val="32"/>
          <w:szCs w:val="32"/>
        </w:rPr>
        <w:t xml:space="preserve"> 股东大会是本行股权管理的最高机构，负责股权发行数额的确定、明确股东的权利、义务。</w:t>
      </w:r>
    </w:p>
    <w:p w:rsidR="003861EF" w:rsidRDefault="00504491">
      <w:pPr>
        <w:pStyle w:val="ab"/>
        <w:spacing w:before="0" w:beforeAutospacing="0" w:after="0" w:afterAutospacing="0" w:line="560" w:lineRule="exact"/>
        <w:ind w:firstLineChars="196" w:firstLine="630"/>
        <w:rPr>
          <w:rFonts w:ascii="仿宋_GB2312" w:eastAsia="仿宋_GB2312" w:hAnsi="Times New Roman" w:cs="Times New Roman"/>
          <w:kern w:val="2"/>
          <w:sz w:val="32"/>
          <w:szCs w:val="32"/>
        </w:rPr>
      </w:pPr>
      <w:r>
        <w:rPr>
          <w:rFonts w:ascii="仿宋_GB2312" w:eastAsia="仿宋_GB2312" w:hAnsi="Times New Roman" w:cs="Times New Roman" w:hint="eastAsia"/>
          <w:b/>
          <w:bCs/>
          <w:color w:val="000000"/>
          <w:kern w:val="2"/>
          <w:sz w:val="32"/>
          <w:szCs w:val="32"/>
        </w:rPr>
        <w:t xml:space="preserve">第四条 </w:t>
      </w:r>
      <w:r>
        <w:rPr>
          <w:rFonts w:ascii="仿宋_GB2312" w:eastAsia="仿宋_GB2312" w:hAnsi="Times New Roman" w:cs="Times New Roman" w:hint="eastAsia"/>
          <w:kern w:val="2"/>
          <w:sz w:val="32"/>
          <w:szCs w:val="32"/>
        </w:rPr>
        <w:t xml:space="preserve"> 董事会应当勤勉尽责，并承担股权管理事务管理的最终责任。</w:t>
      </w:r>
    </w:p>
    <w:p w:rsidR="003861EF" w:rsidRDefault="00504491">
      <w:pPr>
        <w:pStyle w:val="ab"/>
        <w:spacing w:before="0" w:beforeAutospacing="0" w:after="0" w:afterAutospacing="0" w:line="560" w:lineRule="exact"/>
        <w:ind w:firstLineChars="196" w:firstLine="627"/>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lastRenderedPageBreak/>
        <w:t>董事长是处理本行股权事务的第一责任人。董事会秘书协助董事长工作，是处理股权事务的直接责任人。</w:t>
      </w:r>
    </w:p>
    <w:p w:rsidR="003861EF" w:rsidRDefault="00504491">
      <w:pPr>
        <w:pStyle w:val="ab"/>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董事长和董事会秘书应当忠实、诚信、勤勉地履行职责。履职未尽责的，依法承担法律责任。</w:t>
      </w:r>
    </w:p>
    <w:p w:rsidR="003861EF" w:rsidRDefault="00504491">
      <w:pPr>
        <w:adjustRightIn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第五条  </w:t>
      </w:r>
      <w:r>
        <w:rPr>
          <w:rFonts w:ascii="仿宋_GB2312" w:eastAsia="仿宋_GB2312" w:hint="eastAsia"/>
          <w:kern w:val="2"/>
          <w:sz w:val="32"/>
          <w:szCs w:val="32"/>
        </w:rPr>
        <w:t>本行股权管理主要工作职责与要求</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一）建立和完善股权信息管理系统和股权管理制度，做好股权信息登记、关联交易管理和信息披露等工作。加强与股东及投资者的沟通，并负责与股权事务相关的行政许可申请、股东信息和相关事项报告及资料报送等工作。</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（二）按照银保监会监管规定，将关于股东管理的相关监管要求、股东的权利义务等写入本行章程。</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三）加强对股东资质的审查，对主要股东及其控股股东、实际控制人、关联方、一致行动人、最终受益人信息进行核实并掌握其变动情况，就股东对商业银行经营管理的影响进行判断，依法及时、准确、完整地报告或披露相关信息。</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（四）本行董事会应当至少每年对主要股东资质情况、履行承诺事项情况、落实公司章程或协议条款情况以及遵守法律法规、监管规定情况进行评估，并及时将评估报告报送银保监会或其派出机构。</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（五）建立股权托管制度，将股权在符合要求的托管机构进行集中托管。</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（六）加强关联交易管理，准确识别关联方，严格落实关联交易审批制度和信息披露制度，及时向银保监会或其派出机构报告关联交易情况。按照穿透原则将主要股东及其控</w:t>
      </w:r>
      <w:r>
        <w:rPr>
          <w:rFonts w:ascii="仿宋_GB2312" w:eastAsia="仿宋_GB2312" w:hAnsi="Times New Roman" w:cs="Times New Roman" w:hint="eastAsia"/>
          <w:kern w:val="2"/>
          <w:sz w:val="32"/>
          <w:szCs w:val="32"/>
        </w:rPr>
        <w:lastRenderedPageBreak/>
        <w:t>股股东、实际控制人、关联方、一致行动人、最终受益人作为自身的关联方进行管理。</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（七）对主要股东或其控股股东、实际控制人、关联方、一致行动人、最终受益人等单个主体的授信余额不得超过本行</w:t>
      </w:r>
      <w:r>
        <w:rPr>
          <w:rFonts w:ascii="仿宋_GB2312" w:eastAsia="仿宋_GB2312" w:hAnsi="Times New Roman" w:cs="Times New Roman" w:hint="eastAsia"/>
          <w:kern w:val="2"/>
          <w:sz w:val="32"/>
          <w:szCs w:val="32"/>
          <w:highlight w:val="yellow"/>
        </w:rPr>
        <w:t>上季末</w:t>
      </w:r>
      <w:r>
        <w:rPr>
          <w:rFonts w:ascii="仿宋_GB2312" w:eastAsia="仿宋_GB2312" w:hAnsi="Times New Roman" w:cs="Times New Roman" w:hint="eastAsia"/>
          <w:kern w:val="2"/>
          <w:sz w:val="32"/>
          <w:szCs w:val="32"/>
        </w:rPr>
        <w:t>资本净额的百分之十。本行对单个主要股东</w:t>
      </w:r>
      <w:r>
        <w:rPr>
          <w:rFonts w:ascii="仿宋_GB2312" w:eastAsia="仿宋_GB2312" w:hAnsi="Times New Roman" w:cs="Times New Roman" w:hint="eastAsia"/>
          <w:kern w:val="2"/>
          <w:sz w:val="32"/>
          <w:szCs w:val="32"/>
          <w:highlight w:val="yellow"/>
        </w:rPr>
        <w:t>所在的集团客户</w:t>
      </w:r>
      <w:r>
        <w:rPr>
          <w:rFonts w:ascii="仿宋_GB2312" w:eastAsia="仿宋_GB2312" w:hAnsi="Times New Roman" w:cs="Times New Roman" w:hint="eastAsia"/>
          <w:kern w:val="2"/>
          <w:sz w:val="32"/>
          <w:szCs w:val="32"/>
        </w:rPr>
        <w:t>的合计授信余额不得超过商业银行资本净额的百分之十五。</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前款中的授信，包括贷款（含贸易融资）、票据承兑和贴现、透支、债券投资、特定目的载体投资、开立信用证、保理、担保、贷款承诺、</w:t>
      </w:r>
      <w:r>
        <w:rPr>
          <w:rFonts w:ascii="仿宋_GB2312" w:eastAsia="仿宋_GB2312" w:hAnsi="Times New Roman" w:cs="Times New Roman" w:hint="eastAsia"/>
          <w:kern w:val="2"/>
          <w:sz w:val="32"/>
          <w:szCs w:val="32"/>
          <w:highlight w:val="yellow"/>
        </w:rPr>
        <w:t>保函、证券回购、拆借以及其他实质上由银行机构承担信用风险的表内外业务</w:t>
      </w:r>
      <w:r>
        <w:rPr>
          <w:rFonts w:ascii="仿宋_GB2312" w:eastAsia="仿宋_GB2312" w:hAnsi="Times New Roman" w:cs="Times New Roman" w:hint="eastAsia"/>
          <w:kern w:val="2"/>
          <w:sz w:val="32"/>
          <w:szCs w:val="32"/>
        </w:rPr>
        <w:t>。其中，本行应当按照穿透原则确认最终债务人。</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本行的主要股东或其控股股东、实际控制人、关联方、一致行动人、最终受益人等为金融机构的，本行与其开展同业业务时，应当遵守法律法规和相关监管部门关于同业业务的相关规定。</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八）本行与主要股东或其控股股东、实际控制人、关联方、一致行动人、最终受益人发生自用动产与不动产买卖或租赁；信贷资产买卖；抵债资产的接收和处置；信用增值、信用评估、资产评估、法律、信息、技术和基础设施等服务交易；委托或受托销售以及其他交易的，应当遵守法律法规和银保监会有关规定，并按照商业原则进行，不应优于对非关联方同类交易条件，防止风险传染和利益输送。</w:t>
      </w:r>
    </w:p>
    <w:p w:rsidR="003861EF" w:rsidRDefault="00504491">
      <w:pPr>
        <w:pStyle w:val="p0"/>
        <w:spacing w:before="0" w:beforeAutospacing="0" w:after="0" w:afterAutospacing="0" w:line="560" w:lineRule="exact"/>
        <w:ind w:firstLine="600"/>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lastRenderedPageBreak/>
        <w:t>（九）本行应当加强对股权质押和解押的管理，在股东名册上记载质押相关信息，并及时协助股东向有关机构办理出质登记。</w:t>
      </w:r>
    </w:p>
    <w:p w:rsidR="003861EF" w:rsidRDefault="00504491">
      <w:pPr>
        <w:adjustRightIn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第六条  </w:t>
      </w:r>
      <w:r>
        <w:rPr>
          <w:rFonts w:ascii="仿宋_GB2312" w:eastAsia="仿宋_GB2312" w:hint="eastAsia"/>
          <w:kern w:val="2"/>
          <w:sz w:val="32"/>
          <w:szCs w:val="32"/>
        </w:rPr>
        <w:t>本行股权管理部门职责分工</w:t>
      </w:r>
    </w:p>
    <w:p w:rsidR="003861EF" w:rsidRDefault="00504491">
      <w:pPr>
        <w:pStyle w:val="ae"/>
        <w:ind w:firstLine="640"/>
        <w:rPr>
          <w:rFonts w:ascii="仿宋_GB2312"/>
          <w:kern w:val="2"/>
          <w:sz w:val="32"/>
          <w:szCs w:val="32"/>
        </w:rPr>
      </w:pPr>
      <w:r>
        <w:rPr>
          <w:rFonts w:ascii="仿宋_GB2312" w:hint="eastAsia"/>
          <w:kern w:val="2"/>
          <w:sz w:val="32"/>
          <w:szCs w:val="32"/>
        </w:rPr>
        <w:t>（一）董事会办公室负责股权管理的日常工作。具体负责</w:t>
      </w:r>
      <w:r>
        <w:rPr>
          <w:rFonts w:ascii="仿宋_GB2312" w:hint="eastAsia"/>
          <w:kern w:val="2"/>
          <w:sz w:val="32"/>
          <w:szCs w:val="32"/>
          <w:highlight w:val="yellow"/>
        </w:rPr>
        <w:t>拟定</w:t>
      </w:r>
      <w:r>
        <w:rPr>
          <w:rFonts w:ascii="仿宋_GB2312" w:hint="eastAsia"/>
          <w:kern w:val="2"/>
          <w:sz w:val="32"/>
          <w:szCs w:val="32"/>
        </w:rPr>
        <w:t>股权管理办法；建立和维护股东名册档案；接受股东咨询、提供股东所需材料；办理与股权事务相关的行政许可申请、股权信息和相关事项报告；股权变更事项、股金分红方案等审查工作；股权质押管理；</w:t>
      </w:r>
      <w:r>
        <w:rPr>
          <w:rFonts w:hint="eastAsia"/>
        </w:rPr>
        <w:t>按照股份托管要求，及时将股权变动、质押、冻结等情况报送股权托管机构，</w:t>
      </w:r>
      <w:r>
        <w:rPr>
          <w:rFonts w:ascii="仿宋_GB2312" w:hint="eastAsia"/>
          <w:kern w:val="2"/>
          <w:sz w:val="32"/>
          <w:szCs w:val="32"/>
        </w:rPr>
        <w:t>与股权托管机构沟通协调等工作。</w:t>
      </w:r>
    </w:p>
    <w:p w:rsidR="003861EF" w:rsidRDefault="00504491">
      <w:pPr>
        <w:adjustRightIn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（二）风险管理部负责关联交易管理与风险控制工作，从信贷资产安全以及关联交易风险管理角度对股东资料进行复审；信贷管理部负责股权质押相关风险控制工作；金融市场部负责与</w:t>
      </w:r>
      <w:r>
        <w:rPr>
          <w:rFonts w:ascii="仿宋_GB2312" w:eastAsia="仿宋_GB2312" w:hint="eastAsia"/>
          <w:kern w:val="2"/>
          <w:sz w:val="32"/>
          <w:szCs w:val="32"/>
          <w:highlight w:val="yellow"/>
        </w:rPr>
        <w:t>股东</w:t>
      </w:r>
      <w:r>
        <w:rPr>
          <w:rFonts w:ascii="仿宋_GB2312" w:eastAsia="仿宋_GB2312" w:hint="eastAsia"/>
          <w:kern w:val="2"/>
          <w:sz w:val="32"/>
          <w:szCs w:val="32"/>
        </w:rPr>
        <w:t>同业业务关联交易管理和风险控制工作；法律合规部负责本行股权管理重要文件、法律文书等的合规和法务审查工作。</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（三）财务计划部负责根据股东大会的决议组织本行股权分红工作；以及根据股东大会通过的年度利润分配方案派发股利。</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运营管理部负责股权管理的账务核算、账务处理及其他相关维护事项包括：办理有权部门对本行股权查询、股权冻结、解冻、分红扣划等事宜；办理股权转让的账务处理；负责股金证的发放、换领、挂失、补发等工作。</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（五）本行将全部股份在江苏股权交易中心办理股权登记托管，江苏股权交易中心具体服务内容：</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1.初始登记。签署股权登记托管协议、提交股权托管申请材料、交易中心审核、交易中心办理登记手续、交易中心出具业务凭证；</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2.过户登记。股东提交申请材料、本行审核并出具审核意见、交易中心审核、交易中心办理变更登记手续、交易中心出具业务凭证；</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3.质押登记。股东提交申请材料、本行审核并出具审核意见、交易中心审核、交易中心办理质押登记手续、交易中心出具业务凭证；</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4.协助司法冻结。人民法院或有权机关工作人员提出申请并提交相关材料、交易中心审核、交易中心同步报送本行、交易中心办理、交易中心出具凭证；</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5.增值服务。挂牌交易，在交易市场组织下，买方或卖方通过交易市场电子交易系统，按照交易中心规则进行转让、可转债和定向增资服务；</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6.其他相关的服务。</w:t>
      </w:r>
    </w:p>
    <w:p w:rsidR="003861EF" w:rsidRDefault="003861EF">
      <w:pPr>
        <w:adjustRightInd w:val="0"/>
        <w:spacing w:line="560" w:lineRule="exact"/>
        <w:ind w:firstLineChars="200" w:firstLine="640"/>
        <w:rPr>
          <w:rFonts w:ascii="仿宋_GB2312" w:eastAsia="仿宋_GB2312"/>
          <w:kern w:val="2"/>
          <w:sz w:val="32"/>
          <w:szCs w:val="32"/>
        </w:rPr>
      </w:pP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第三章  原则与要求</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第七条 </w:t>
      </w:r>
      <w:r>
        <w:rPr>
          <w:rFonts w:ascii="仿宋_GB2312" w:hint="eastAsia"/>
          <w:kern w:val="2"/>
          <w:sz w:val="32"/>
          <w:szCs w:val="32"/>
        </w:rPr>
        <w:t xml:space="preserve"> 本行根据资本来源和归属设置自然人股和法人股。本行股东必须符合向金融机构投资入股的条件。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第八条  </w:t>
      </w:r>
      <w:r>
        <w:rPr>
          <w:rFonts w:ascii="仿宋_GB2312" w:hint="eastAsia"/>
          <w:kern w:val="2"/>
          <w:sz w:val="32"/>
          <w:szCs w:val="32"/>
        </w:rPr>
        <w:t>本行股东以所持股份参与本行的管理，股东（包括股东代理人）以其出席股东大会所持有的股份数额行</w:t>
      </w:r>
      <w:r>
        <w:rPr>
          <w:rFonts w:ascii="仿宋_GB2312" w:hint="eastAsia"/>
          <w:kern w:val="2"/>
          <w:sz w:val="32"/>
          <w:szCs w:val="32"/>
        </w:rPr>
        <w:lastRenderedPageBreak/>
        <w:t>使表决权，每一股份享有一票表决权，本行《章程》另有规定的表决权限制除外。</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第九条 </w:t>
      </w:r>
      <w:r>
        <w:rPr>
          <w:rFonts w:ascii="仿宋_GB2312" w:hint="eastAsia"/>
          <w:kern w:val="2"/>
          <w:sz w:val="32"/>
          <w:szCs w:val="32"/>
        </w:rPr>
        <w:t xml:space="preserve"> 本行全部资本划分为等额股份，每股面值为人民币1元。本行股份同股同权，同股同利，承担相同义务。</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第十条  </w:t>
      </w:r>
      <w:r>
        <w:rPr>
          <w:rFonts w:ascii="仿宋_GB2312" w:hint="eastAsia"/>
          <w:kern w:val="2"/>
          <w:sz w:val="32"/>
          <w:szCs w:val="32"/>
        </w:rPr>
        <w:t>本行股份中，法人股、自然人股、职工股比例必须符合监管部门要求。单个自然人所持股份一般不少于5万股，单个法人所持股份一般不少于100万股。本行如实行增资扩股，可根据持续增资能力、对本行贡献度等因素，对拟入股本行的投资者进行优选。</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第十一条  </w:t>
      </w:r>
      <w:r>
        <w:rPr>
          <w:rFonts w:ascii="仿宋_GB2312" w:hint="eastAsia"/>
          <w:kern w:val="2"/>
          <w:sz w:val="32"/>
          <w:szCs w:val="32"/>
        </w:rPr>
        <w:t>本行单个自然人及其近亲属合计投资入股比例最高不超过股本总额的2%，单个职工持股比例、单个境内非金融机构法人及其关联方合计持股比例按监管要求执行。单个法人及其关联方合计投资入股不超过股本总额的10%，职工持股总额不超过股本总额的20%。</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第十二条  </w:t>
      </w:r>
      <w:r>
        <w:rPr>
          <w:rFonts w:ascii="仿宋_GB2312" w:hint="eastAsia"/>
          <w:kern w:val="2"/>
          <w:sz w:val="32"/>
          <w:szCs w:val="32"/>
        </w:rPr>
        <w:t>投资人及其关联方、一致行动人单独或合计拟首次持有或累计增持本行资本总额或股份总额百分之五以上的，应当事先报银保监会或其派出机构核准。审批的具体要求和程序按照银保监会相关规定执行。投资人及其关联方、一致行动人单独或合计持有本行资本总额或股份总额百分之一以上、百分之五以下的，应当在取得相应股权后十个工作日内向银保监会或其派出机构报告。</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第十三条 </w:t>
      </w:r>
      <w:r>
        <w:rPr>
          <w:rFonts w:ascii="仿宋_GB2312" w:eastAsia="仿宋_GB2312" w:hint="eastAsia"/>
          <w:kern w:val="2"/>
          <w:sz w:val="32"/>
          <w:szCs w:val="32"/>
        </w:rPr>
        <w:t xml:space="preserve"> 本行主要股东自取得股权之日起5年内不得转让所持有的股权。经银保监会或其派出机构批准采取风险处置措施、银保监会或其派出机构责令转让、涉及司法强制</w:t>
      </w:r>
      <w:r>
        <w:rPr>
          <w:rFonts w:ascii="仿宋_GB2312" w:eastAsia="仿宋_GB2312" w:hint="eastAsia"/>
          <w:kern w:val="2"/>
          <w:sz w:val="32"/>
          <w:szCs w:val="32"/>
        </w:rPr>
        <w:lastRenderedPageBreak/>
        <w:t>执行或者在同一投资人控制的不同主体之间转让股权等特殊情形除外。</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本行主要股东是指持有或控制本行百分之五以上股份或表决权，或持有资本总额或股份总额不足百分之五但对商业银行经营管理有重大影响的股东。</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前款中的“重大影响”，包括但不限于向商业银行派驻董事、监事或高级管理人员，通过协议或其他方式影响商业银行的财务和经营管理决策以及银保监会或其派出机构认定的其他情形。</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第十四条  </w:t>
      </w:r>
      <w:r>
        <w:rPr>
          <w:rFonts w:ascii="仿宋_GB2312" w:eastAsia="仿宋_GB2312" w:hint="eastAsia"/>
          <w:kern w:val="2"/>
          <w:sz w:val="32"/>
          <w:szCs w:val="32"/>
        </w:rPr>
        <w:t>本行董事、监事及高级管理人员持有的本行股权在其任职期间和离职后6个月内不得转让。</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本行高级管理人员是指本行行长、副行长（含行长助理、风险总监、财务总监、合规总监、总审计师、总会计师、首席信息官以及同职级高级管理人员）及董事会秘书、内审部门负责人、财务部门负责人、合规部门负责人。</w:t>
      </w:r>
    </w:p>
    <w:p w:rsidR="003861EF" w:rsidRDefault="00504491">
      <w:pPr>
        <w:snapToGri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第十五条　</w:t>
      </w:r>
      <w:r>
        <w:rPr>
          <w:rFonts w:ascii="仿宋_GB2312" w:eastAsia="仿宋_GB2312" w:hint="eastAsia"/>
          <w:kern w:val="2"/>
          <w:sz w:val="32"/>
          <w:szCs w:val="32"/>
        </w:rPr>
        <w:t>本行股东享有下列权利：</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 xml:space="preserve">（一）依照其所持有的股份份额获得股利和其他形式的利益分配； </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（二）依法请求、召集、主持、出席或者委派代理人参加股东会议，依照其所持有的股份份额行使表决权；</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（三）享有选举权与被选举权；</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（四）对本行经营行为进行监督，提出建议或者质询；</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（五）依照法律、行政法规及本章程的规定，转让、赠与、质押股份；</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（六）查阅本章程、股东名册、公司债券存根、股东大会会议记录、董事会会议决议、监事会会议决议、财务会计报告；</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（七）本行终止或者清算时，按其所持有的股份份额参加本行剩余财产的分配；</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（八）对股东大会作出的公司合并、分立决议持异议的股东，要求公司收购其股份；</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（九）法律、行政法规及本章程所赋予的其他权利。</w:t>
      </w:r>
    </w:p>
    <w:p w:rsidR="003861EF" w:rsidRDefault="00504491">
      <w:pPr>
        <w:spacing w:line="560" w:lineRule="exact"/>
        <w:ind w:firstLineChars="200" w:firstLine="640"/>
        <w:rPr>
          <w:rFonts w:ascii="仿宋_GB2312" w:eastAsia="仿宋_GB2312"/>
          <w:kern w:val="2"/>
          <w:sz w:val="32"/>
          <w:szCs w:val="32"/>
          <w:highlight w:val="yellow"/>
        </w:rPr>
      </w:pPr>
      <w:r>
        <w:rPr>
          <w:rFonts w:ascii="仿宋_GB2312" w:eastAsia="仿宋_GB2312" w:hint="eastAsia"/>
          <w:kern w:val="2"/>
          <w:sz w:val="32"/>
          <w:szCs w:val="32"/>
          <w:highlight w:val="yellow"/>
        </w:rPr>
        <w:t>对于存在虚假陈述、滥用股东权利或其他损害商业银行利益行为的股东，监管部门可以限制或禁止商业银行与其开展关联交易，限制其持有商业银行股权的限额、股权质押比例等，并可限制其股东大会召开请求权、表决权、提名权、提案权、处分权等权利。</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第十六条　</w:t>
      </w:r>
      <w:r>
        <w:rPr>
          <w:rFonts w:ascii="仿宋_GB2312" w:eastAsia="仿宋_GB2312" w:hint="eastAsia"/>
          <w:kern w:val="2"/>
          <w:sz w:val="32"/>
          <w:szCs w:val="32"/>
        </w:rPr>
        <w:t>本行股东承担下列义务：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（一）股东应当遵守法律法规和监管规定</w:t>
      </w:r>
      <w:r>
        <w:rPr>
          <w:rFonts w:ascii="仿宋_GB2312" w:eastAsia="仿宋_GB2312" w:hint="eastAsia"/>
          <w:kern w:val="2"/>
          <w:sz w:val="32"/>
          <w:szCs w:val="32"/>
          <w:highlight w:val="yellow"/>
        </w:rPr>
        <w:t>和本行章程</w:t>
      </w:r>
      <w:r>
        <w:rPr>
          <w:rFonts w:ascii="仿宋_GB2312" w:eastAsia="仿宋_GB2312" w:hint="eastAsia"/>
          <w:kern w:val="2"/>
          <w:sz w:val="32"/>
          <w:szCs w:val="32"/>
        </w:rPr>
        <w:t>；</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（二）股东应当依法对本行履行诚信义务，确保提交的股东信息、资料真实、完整、有效；</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（三）维护本行利益和信誉，服从和履行股东大会决议，支持本行合法开展各项业务；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股东应当严格按照法律法规和银保监会规定履行出资义务，股东应当使用自有资金入股本行，且确保资金来源合法，不得以委托资金、债务资金等非自有资金入股，法律法规另有规定的除外，并以其所持本行股份为限对本行债务承担责任；</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（五）主要股东入股本行时，应当书面承诺遵守法律法规、监管规定和本行章程，并就入股本行的目的作出说明；</w:t>
      </w:r>
    </w:p>
    <w:p w:rsidR="003861EF" w:rsidRDefault="00504491">
      <w:pPr>
        <w:spacing w:line="560" w:lineRule="exact"/>
        <w:ind w:firstLineChars="200" w:firstLine="640"/>
        <w:rPr>
          <w:rFonts w:ascii="仿宋_GB2312" w:eastAsia="仿宋_GB2312"/>
          <w:kern w:val="2"/>
          <w:sz w:val="32"/>
          <w:szCs w:val="32"/>
          <w:highlight w:val="yellow"/>
        </w:rPr>
      </w:pPr>
      <w:r>
        <w:rPr>
          <w:rFonts w:ascii="仿宋_GB2312" w:eastAsia="仿宋_GB2312" w:hint="eastAsia"/>
          <w:kern w:val="2"/>
          <w:sz w:val="32"/>
          <w:szCs w:val="32"/>
          <w:highlight w:val="yellow"/>
        </w:rPr>
        <w:t>（六）股东不得委托他人或接受他人委托持有本行股权，按照法律法规及监管规定，如实向</w:t>
      </w:r>
      <w:r w:rsidR="00BA1C52">
        <w:rPr>
          <w:rFonts w:ascii="仿宋_GB2312" w:eastAsia="仿宋_GB2312" w:hint="eastAsia"/>
          <w:kern w:val="2"/>
          <w:sz w:val="32"/>
          <w:szCs w:val="32"/>
          <w:highlight w:val="yellow"/>
        </w:rPr>
        <w:t>本行</w:t>
      </w:r>
      <w:r>
        <w:rPr>
          <w:rFonts w:ascii="仿宋_GB2312" w:eastAsia="仿宋_GB2312" w:hint="eastAsia"/>
          <w:kern w:val="2"/>
          <w:sz w:val="32"/>
          <w:szCs w:val="32"/>
          <w:highlight w:val="yellow"/>
        </w:rPr>
        <w:t>告知财务信息、股权结构、入股资金来源、控股股东、实际控制人、关联方、一致行动人、最终受益人、投资其他金融机构情况等信息；</w:t>
      </w:r>
    </w:p>
    <w:p w:rsidR="003861EF" w:rsidRDefault="00504491">
      <w:pPr>
        <w:spacing w:line="560" w:lineRule="exact"/>
        <w:ind w:firstLineChars="200" w:firstLine="640"/>
        <w:rPr>
          <w:rFonts w:ascii="仿宋_GB2312" w:eastAsia="仿宋_GB2312"/>
          <w:kern w:val="2"/>
          <w:sz w:val="32"/>
          <w:szCs w:val="32"/>
          <w:highlight w:val="yellow"/>
        </w:rPr>
      </w:pPr>
      <w:r>
        <w:rPr>
          <w:rFonts w:ascii="仿宋_GB2312" w:eastAsia="仿宋_GB2312" w:hint="eastAsia"/>
          <w:kern w:val="2"/>
          <w:sz w:val="32"/>
          <w:szCs w:val="32"/>
          <w:highlight w:val="yellow"/>
        </w:rPr>
        <w:t>（七）股东的控股股东、实际控制人、关联方、一致行动人、最终受益人发生变化的，相关股东应当按照法律法规及监管规定，及时将变更情况书面告知</w:t>
      </w:r>
      <w:r w:rsidR="00BA1C52">
        <w:rPr>
          <w:rFonts w:ascii="仿宋_GB2312" w:eastAsia="仿宋_GB2312" w:hint="eastAsia"/>
          <w:kern w:val="2"/>
          <w:sz w:val="32"/>
          <w:szCs w:val="32"/>
          <w:highlight w:val="yellow"/>
        </w:rPr>
        <w:t>本行</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（八）除国务院授权持有或法律法规另有规定外，同一投资人及其关联方、一致行动人作为本行主要股东参股商业银行的数量不得超过2家，或控股商业银行的数量不得超过1家；</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（九）同一投资人及其关联方、一致行动人入股本行应当遵守银保监会规定的持股比例</w:t>
      </w:r>
      <w:r>
        <w:rPr>
          <w:rFonts w:ascii="仿宋_GB2312" w:eastAsia="仿宋_GB2312" w:cs="宋体" w:hint="eastAsia"/>
          <w:sz w:val="32"/>
          <w:szCs w:val="32"/>
          <w:highlight w:val="yellow"/>
        </w:rPr>
        <w:t>和持股数量的</w:t>
      </w:r>
      <w:r>
        <w:rPr>
          <w:rFonts w:ascii="仿宋_GB2312" w:eastAsia="仿宋_GB2312" w:hint="eastAsia"/>
          <w:kern w:val="2"/>
          <w:sz w:val="32"/>
          <w:szCs w:val="32"/>
        </w:rPr>
        <w:t>要求；</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（十）主要股东及其控股股东、实际控制人不得存在下列情形：</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1.被列为相关部门失信联合惩戒对象；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2.存在严重逃废银行债务行为；</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3.提供虚假材料或者作不实声明；</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4.对本行经营失败或重大违法违规行为负有重大责任；</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5.拒绝或阻碍银保监会或其派出机构依法实施监管；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6.因违法违规行为被金融监管部门或政府有关部门查处，造成恶劣影响；</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7.其他可能对本行经营管理产生不利影响的情形；</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（十一）股东转让所持有的本行股权，应当告知受让方需符合法律法规和银保监会规定的条件；</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二）主要股东应当严格按照法律法规、监管规定和本行章程行使出资人权利，履行出资人义务，不得滥用股东权利干预或利用其影响力干预董事会、高级管理层根据本行章程享有的决策权和管理权，不得越过董事会和高级管理层直接干预或利用影响力干预本行经营管理，进行利益输送，或以其他方式损害存款人、本行以及其他股东的合法权益；</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三）股东特别是主要股东应当支持本行董事会制订合理的资本规划，使本行资本持续满足监管要求；当本行资本不能满足监管要求时，应当制订资本补充计划，使资本充足率在限期内达到监管要求，并通过增加核心资本等方式补充资本，主要股东不得阻碍其他股东对本行补充资本或合格的新股东进入；</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（十四）主要股东应当根据监管规定书面承诺在必要时向本行补充资本，并通过本行每年向银保监会或其派出机构报告资本补充能力；</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（十五）主要股东应当建立有效的风险隔离机制，防止风险在股东、本行以及其他关联机构之间传染和转移；</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（十六）主要股东应当对其与本行和其他关联机构之间董事会成员、监事会成员和高级管理人员的交叉任职进行有效管理，防范利益冲突；</w:t>
      </w:r>
    </w:p>
    <w:p w:rsidR="003861EF" w:rsidRDefault="00504491">
      <w:pPr>
        <w:spacing w:line="560" w:lineRule="exact"/>
        <w:ind w:firstLineChars="200" w:firstLine="640"/>
        <w:rPr>
          <w:rFonts w:ascii="仿宋_GB2312" w:eastAsia="仿宋_GB2312"/>
          <w:kern w:val="2"/>
          <w:sz w:val="32"/>
          <w:szCs w:val="32"/>
          <w:highlight w:val="yellow"/>
        </w:rPr>
      </w:pPr>
      <w:r>
        <w:rPr>
          <w:rFonts w:ascii="仿宋_GB2312" w:eastAsia="仿宋_GB2312" w:hint="eastAsia"/>
          <w:kern w:val="2"/>
          <w:sz w:val="32"/>
          <w:szCs w:val="32"/>
          <w:highlight w:val="yellow"/>
        </w:rPr>
        <w:t>（十七）对于参与化解高风险机构持股比例10%以上的</w:t>
      </w:r>
      <w:r>
        <w:rPr>
          <w:rFonts w:ascii="仿宋_GB2312" w:eastAsia="仿宋_GB2312" w:hint="eastAsia"/>
          <w:kern w:val="2"/>
          <w:sz w:val="32"/>
          <w:szCs w:val="32"/>
          <w:highlight w:val="yellow"/>
        </w:rPr>
        <w:lastRenderedPageBreak/>
        <w:t>股东，不得从农商行获得关联授信。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（十八）主要股东应当遵守法律法规和银保监会关于关联交易的相关规定，不得与本行进行不当的关联交易，不得利用其对本行经营管理的影响力获取不正当利益；</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（十九）股东质押其持有的本行股权的，应当遵守法律法规、银保监会关于股权质押的相关规定，不得损害其他股东和本行的利益；</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（二十）本行发生重大风险事件或重大违法违规行为，被银保监会或其派出机构采取风险处置或接管等措施的，股东应当积极配合银保监会或其派出机构开展风险处置等工作；</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（二十一）</w:t>
      </w:r>
      <w:r>
        <w:rPr>
          <w:rFonts w:ascii="仿宋_GB2312" w:eastAsia="仿宋_GB2312" w:hint="eastAsia"/>
          <w:kern w:val="2"/>
          <w:sz w:val="32"/>
          <w:szCs w:val="32"/>
          <w:highlight w:val="yellow"/>
        </w:rPr>
        <w:t>股东发生合并、分立，被采取责令停业整顿、指定托管、接管、撤销等措施，或者进入解散、清算、破产程序，或者其法定代表人、公司名称、经营场所、经营范围及其他重大事项发生变化的，应当按照法律法规及监管规定，及时将相关情况书面告知</w:t>
      </w:r>
      <w:r w:rsidR="00BA1C52">
        <w:rPr>
          <w:rFonts w:ascii="仿宋_GB2312" w:eastAsia="仿宋_GB2312" w:hint="eastAsia"/>
          <w:kern w:val="2"/>
          <w:sz w:val="32"/>
          <w:szCs w:val="32"/>
          <w:highlight w:val="yellow"/>
        </w:rPr>
        <w:t>本行</w:t>
      </w:r>
      <w:r>
        <w:rPr>
          <w:rFonts w:ascii="仿宋_GB2312" w:eastAsia="仿宋_GB2312" w:hint="eastAsia"/>
          <w:kern w:val="2"/>
          <w:sz w:val="32"/>
          <w:szCs w:val="32"/>
          <w:highlight w:val="yellow"/>
        </w:rPr>
        <w:t>，应在30天内书面通知本行；</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（二十二）应经但未经监管部门批准或未向监管部门报告的股东，不得行使股东大会召开请求权、表决权、提名权、提案权、处分权等权利；</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十三）对于存在虚假陈述、滥用股东权利或其他损害商业银行利益行为的股东，银保监会或其派出机构可以限制或禁止商业银行与其开展关联交易，限制其持有商业银行股权的限额、股权质押比例等，并可限制其股东大会召开请求权、表决权、提名权、提案权、处分权等权利；</w:t>
      </w:r>
    </w:p>
    <w:p w:rsidR="003861EF" w:rsidRDefault="00504491">
      <w:pPr>
        <w:spacing w:line="560" w:lineRule="exact"/>
        <w:ind w:firstLineChars="200" w:firstLine="640"/>
        <w:rPr>
          <w:rFonts w:ascii="仿宋_GB2312" w:eastAsia="仿宋_GB2312"/>
          <w:kern w:val="2"/>
          <w:sz w:val="32"/>
          <w:szCs w:val="32"/>
          <w:highlight w:val="yellow"/>
        </w:rPr>
      </w:pPr>
      <w:r>
        <w:rPr>
          <w:rFonts w:ascii="仿宋_GB2312" w:eastAsia="仿宋_GB2312" w:hint="eastAsia"/>
          <w:sz w:val="32"/>
          <w:szCs w:val="32"/>
          <w:highlight w:val="yellow"/>
        </w:rPr>
        <w:lastRenderedPageBreak/>
        <w:t>（二十四）本行大股东应按照法律、行政法规要求规范持股行为、治理行为、交易行为，明确大股东责任义务。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（二十五）法律、行政法规及本章程规定应当承担的其他义务。</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第四章  入股条件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第十七条  </w:t>
      </w:r>
      <w:r>
        <w:rPr>
          <w:rFonts w:ascii="仿宋_GB2312" w:hint="eastAsia"/>
          <w:kern w:val="2"/>
          <w:sz w:val="32"/>
          <w:szCs w:val="32"/>
        </w:rPr>
        <w:t>本行股东包括自然人、境内非金融机构、境内金融机构、境外金融机构等符合银保监会向金融机构入股条件的自然人或机构。成为本行的股东，应符合以下条件：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（一）自然人股东条件：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1.具有完全民事行为能力的中国公民；</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2.具有良好的社会声誉和诚信记录；</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3.入股资金来源真实合法，不得以借贷资金入股，不得以他人委托资金入股；</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4.银保监会规定的其他审慎性条件。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（二）境内非金融机构股东条件：</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1.在工商行政管理部门登记注册，具有法人资格；</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2.有良好的社会声誉、诚信记录和纳税记录；</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3.最近两年内无重大违法违规行为；</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4.财务状况良好，最近两个会计年度连续盈利。境内非金融机构属重组改制的，重组改制后，该企业主营业务、主要控制人等未发生重大变化的，其重组改制前的经营年限及业绩可连续计算；</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5.有较强的经营管理能力和资金实力；</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6.年终分配后，净资产达到全部资产的30%以上（合并</w:t>
      </w:r>
      <w:r>
        <w:rPr>
          <w:rFonts w:hAnsi="Times New Roman" w:cs="Times New Roman" w:hint="eastAsia"/>
          <w:kern w:val="2"/>
          <w:sz w:val="32"/>
          <w:szCs w:val="32"/>
          <w:lang w:eastAsia="zh-CN" w:bidi="ar-SA"/>
        </w:rPr>
        <w:lastRenderedPageBreak/>
        <w:t>会计报表口径）；</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7.具备补充农村商业银行资本的能力，除国务院规定的投资公司和持股公司外，权益性投资余额原则上不得超过净资产的50%（含在本行的投资金额，合并会计报表口径）；</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8.入股资金来源真实合法，不得以借贷资金入股，且不得以他人委托资金入股；</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 xml:space="preserve">9.银保监会规定的其他审慎性条件。 </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（三）境内金融机构股东条件：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1.资本充足率或资本总额符合相关规定；</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2.财务稳健，资信良好，最近两个会计年度连续盈利；</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3.公司治理良好，内部控制健全有效，近两年无严重违法违规和因内部管理问题导致的重大案件；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4.主要审慎监管指标符合监管要求；</w:t>
      </w:r>
    </w:p>
    <w:p w:rsidR="003861EF" w:rsidRDefault="00504491">
      <w:pPr>
        <w:pStyle w:val="af0"/>
        <w:widowControl w:val="0"/>
        <w:spacing w:line="560" w:lineRule="exact"/>
        <w:ind w:firstLineChars="210" w:firstLine="672"/>
        <w:rPr>
          <w:rFonts w:hAnsi="Times New Roman" w:cs="Times New Roman"/>
          <w:kern w:val="2"/>
          <w:sz w:val="32"/>
          <w:szCs w:val="32"/>
          <w:lang w:eastAsia="zh-CN" w:bidi="ar-SA"/>
        </w:rPr>
      </w:pPr>
      <w:r>
        <w:rPr>
          <w:rFonts w:hAnsi="Times New Roman" w:cs="Times New Roman" w:hint="eastAsia"/>
          <w:kern w:val="2"/>
          <w:sz w:val="32"/>
          <w:szCs w:val="32"/>
          <w:lang w:eastAsia="zh-CN" w:bidi="ar-SA"/>
        </w:rPr>
        <w:t>5.银保监会规定的其他审慎性条件。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（四）境外金融机构股东条件：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1.总资产、信用评级、资本充足率或资本总额符合相关规定；</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2.财务稳健，资信良好，最近两个会计年度连续盈利；</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3公司治理良好，内部控制健全有效；</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4.注册地国家（地区）经济状况良好，金融机构监管制度完善；</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5.母国监管当局作出的该项投资符合注册地国家（地区）法律、法规的规定及该金融机构符合注册地国家（地区）审慎监管要求的相关声明；</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lastRenderedPageBreak/>
        <w:t>6.银保监会规定的其他审慎性条件。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第十八条  </w:t>
      </w:r>
      <w:r>
        <w:rPr>
          <w:rFonts w:ascii="仿宋_GB2312" w:hint="eastAsia"/>
          <w:kern w:val="2"/>
          <w:sz w:val="32"/>
          <w:szCs w:val="32"/>
        </w:rPr>
        <w:t>本行股东应以货币资金入股，不得以实物资产、债权、有价证券等形式作价入股。</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第五章  股东名册与股权证书管理</w:t>
      </w:r>
    </w:p>
    <w:p w:rsidR="003861EF" w:rsidRDefault="00504491">
      <w:pPr>
        <w:pStyle w:val="ae"/>
        <w:spacing w:line="560" w:lineRule="exact"/>
        <w:ind w:firstLineChars="198" w:firstLine="636"/>
        <w:rPr>
          <w:rFonts w:ascii="仿宋_GB2312"/>
          <w:kern w:val="2"/>
          <w:sz w:val="32"/>
          <w:szCs w:val="32"/>
        </w:rPr>
      </w:pPr>
      <w:r>
        <w:rPr>
          <w:rFonts w:ascii="仿宋_GB2312" w:hint="eastAsia"/>
          <w:b/>
          <w:bCs/>
          <w:kern w:val="2"/>
          <w:sz w:val="32"/>
          <w:szCs w:val="32"/>
        </w:rPr>
        <w:t xml:space="preserve">第十九条 </w:t>
      </w:r>
      <w:r>
        <w:rPr>
          <w:rFonts w:ascii="仿宋_GB2312" w:hint="eastAsia"/>
          <w:kern w:val="2"/>
          <w:sz w:val="32"/>
          <w:szCs w:val="32"/>
        </w:rPr>
        <w:t xml:space="preserve"> 本行依据法定验资机构出具的验资证明或股权托管机构提供的凭证置备股东名册。股东名册记载下列事项：</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（一）股东的姓名（名称）、地址（住所）、自然人股东身份证号、法人股东统一社会信用代码、法人代表姓名；</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（二）股东所持股份数；</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（三）股东取得其股份的日期；</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（四）取得股份的方式（如原始入股、协议转让、赠与、继承、法院判决转让等）；</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（五）股东股权质押情况；</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（六）其他需载明的事项。</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股东相关事项的变更及股份的质押、司法执行、转让应准确并完整记录于股东名册中。</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第二十条  </w:t>
      </w:r>
      <w:r>
        <w:rPr>
          <w:rFonts w:ascii="仿宋_GB2312" w:eastAsia="仿宋_GB2312" w:hint="eastAsia"/>
          <w:kern w:val="2"/>
          <w:sz w:val="32"/>
          <w:szCs w:val="32"/>
        </w:rPr>
        <w:t>本行向股东签发记名股权证书，股权证书是股东持有本行股份和按所持股份享有权利、承担义务的书面凭证。本行签发的股权证书采取一户一证制。股权证书应当载明下列主要事项：</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（一）本行名称；</w:t>
      </w:r>
    </w:p>
    <w:p w:rsidR="003861EF" w:rsidRDefault="00504491">
      <w:pPr>
        <w:spacing w:line="560" w:lineRule="exact"/>
        <w:ind w:firstLineChars="200" w:firstLine="640"/>
        <w:rPr>
          <w:rFonts w:ascii="仿宋_GB2312" w:eastAsia="仿宋_GB2312"/>
          <w:color w:val="FF0000"/>
          <w:kern w:val="2"/>
          <w:sz w:val="32"/>
          <w:szCs w:val="32"/>
        </w:rPr>
      </w:pPr>
      <w:r>
        <w:rPr>
          <w:rFonts w:ascii="仿宋_GB2312" w:eastAsia="仿宋_GB2312" w:hint="eastAsia"/>
          <w:kern w:val="2"/>
          <w:sz w:val="32"/>
          <w:szCs w:val="32"/>
        </w:rPr>
        <w:t>（二）持有股权证书的股东取得股权日期；</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（三）股权证书的编号；</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（四）持有股权证书的股东的姓名或名称以及证件类型、证件号码；</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（五）股权证书票面金额及代表的股份数。</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本行股权证书须经董事长签章并加盖本行公章后有效，本行公章和董事长签章可以采用印刷形式。</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第二十一条  </w:t>
      </w:r>
      <w:r>
        <w:rPr>
          <w:rFonts w:ascii="仿宋_GB2312" w:hint="eastAsia"/>
          <w:kern w:val="2"/>
          <w:sz w:val="32"/>
          <w:szCs w:val="32"/>
        </w:rPr>
        <w:t>本行股东持有的股权凭证发生被盗、遗失、灭失等情况，股东可以依照《中华人民共和国民事诉讼法》规定的公示催告程序，请求人民法院宣告该股权证书失效。人民法院宣告该股权证书失效后，股东可以申请补发股权凭证。亦可在市级(含)以上报刊登载遗失公告十日后，法人股东持相关证明材料和授权书、自然人股东持有效身份证明及载有遗失公告的报刊办理挂失手续。</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第二十二条  </w:t>
      </w:r>
      <w:r>
        <w:rPr>
          <w:rFonts w:ascii="仿宋_GB2312" w:hint="eastAsia"/>
          <w:kern w:val="2"/>
          <w:sz w:val="32"/>
          <w:szCs w:val="32"/>
        </w:rPr>
        <w:t>股东及其代理人应当向本行承诺对股权凭证被盗、遗失、灭失等行为可能产生的后果承担责任。如由于股东误述或其他过错导致本行因补办股权凭证而遭受任何损失的，该股东应当承担向本行赔偿该损失的责任。</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第二十三条  </w:t>
      </w:r>
      <w:r>
        <w:rPr>
          <w:rFonts w:ascii="仿宋_GB2312" w:hint="eastAsia"/>
          <w:kern w:val="2"/>
          <w:sz w:val="32"/>
          <w:szCs w:val="32"/>
        </w:rPr>
        <w:t>股金凭证污损、破损的，自然人股东可以持原股权凭证、本人有效身份证件办理新股金凭证；法人股东可以指定其工作人员持股权凭证、营业执照、授权书和经办人员有效身份证件办理新股权凭证。损坏严重，无法辨识股权凭证外形、股东名称、股份数额等重要信息的，应按被盗、遗失、灭失手续办理。</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第六章  股权转让和变更管理</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第二十四条 </w:t>
      </w:r>
      <w:r>
        <w:rPr>
          <w:rFonts w:ascii="仿宋_GB2312" w:hint="eastAsia"/>
          <w:kern w:val="2"/>
          <w:sz w:val="32"/>
          <w:szCs w:val="32"/>
        </w:rPr>
        <w:t xml:space="preserve"> 本行股权的受让对象必须符合向本行投</w:t>
      </w:r>
      <w:r>
        <w:rPr>
          <w:rFonts w:ascii="仿宋_GB2312" w:hint="eastAsia"/>
          <w:kern w:val="2"/>
          <w:sz w:val="32"/>
          <w:szCs w:val="32"/>
        </w:rPr>
        <w:lastRenderedPageBreak/>
        <w:t>资入股的条件。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第二十五条  </w:t>
      </w:r>
      <w:r>
        <w:rPr>
          <w:rFonts w:ascii="仿宋_GB2312" w:hint="eastAsia"/>
          <w:kern w:val="2"/>
          <w:sz w:val="32"/>
          <w:szCs w:val="32"/>
        </w:rPr>
        <w:t>本行股权转让应遵循自愿、平等、诚实、信用的原则。股权转让办理流程：</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当事人应事先向本行董事会办公室提供股金证原件、双方证件原件、征信报告等本办法规定的相应材料，进行双录签订《股权转让协议书》，办理股权转让的相关申请手续，董事会办公室负责受理、初步审查，出具股金转让审批表。由风险管理部从信贷资产安全和关联交易风险管理角度进行审查，董事会或董事会授权董事长审批后，董事会办公室及时将转让信息报送至江苏股权交易中心，审核通过后，交运营管理部清算中心进行账务处理、打印新证加盖印章，董事会办公室通知受让人（代理人）凭有效身份证明领取新证，做好交接手续。</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若未履行事先告知义务或未经批准的，该转让无效，但不得对抗善意第三人。</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第二十六条  </w:t>
      </w:r>
      <w:r>
        <w:rPr>
          <w:rFonts w:ascii="仿宋_GB2312" w:hint="eastAsia"/>
          <w:kern w:val="2"/>
          <w:sz w:val="32"/>
          <w:szCs w:val="32"/>
        </w:rPr>
        <w:t>本行根据上年末财务数据提供股权定价的相关信息，但股权转让的实际交易价格由转让双方通过平等协商自主确定，并在转让协议中注明。</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第二十七条  </w:t>
      </w:r>
      <w:r>
        <w:rPr>
          <w:rFonts w:ascii="仿宋_GB2312" w:hint="eastAsia"/>
          <w:kern w:val="2"/>
          <w:sz w:val="32"/>
          <w:szCs w:val="32"/>
        </w:rPr>
        <w:t>在办理股权转让业务时，按照本行《章程》规定、监管要求，原则上在同类型股东之间进行转让，转让后法人股、本行职工股所占比例要符合监管要求，转让股份为本行资本总额或股份总额5%以上的，需经监管部门审批。具体规定如下：</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1.转让数量的规定</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（1）股东所持股份部分转让的，转让后剩余股份不得少于5万股。</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（2）股东所持股份少于5万股的，须一次性转让全部股份。</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2.受让数量的规定</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（1）受让后单个自然人股东持股比例不得超过本行股份总额的2%；</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（2）受让后单个法人及其关联企业持股总和不得超过本行股份总额的10%；</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（6）本行员工持股已达50万股（不含配股、资本转增等）以上者，不得再接受本行其他股东的股份转让；</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（7）本行员工持股未满50万股者（不含配股、资本转增等），可以接受本行自然人股东的股份转让，但受让完成后，其持股总额不得超过50万股（不含配股、资本转增等）。</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3.股份转让特别规定</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（1）法人股东转让其所持部分法人股份的，受让方原则上须为本行法人股东。</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（2）法人股东转让其所持全部法人股份的，受让方原则上须为本行法人股东或其他单个符合受让条件的企业法人。</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（3）自然人股东转让其所持部分股份的，受让方原则上须为本行股东。</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（4）自然人股东转让其所持全部股份的，受让方原则上须为本行股东或其他单个符合受让条件的企业法人或自</w:t>
      </w:r>
      <w:r>
        <w:rPr>
          <w:rFonts w:ascii="仿宋_GB2312" w:eastAsia="仿宋_GB2312" w:hint="eastAsia"/>
          <w:kern w:val="2"/>
          <w:sz w:val="32"/>
          <w:szCs w:val="32"/>
        </w:rPr>
        <w:lastRenderedPageBreak/>
        <w:t>然人。</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第二十八条 </w:t>
      </w:r>
      <w:r>
        <w:rPr>
          <w:rFonts w:ascii="仿宋_GB2312" w:hint="eastAsia"/>
          <w:kern w:val="2"/>
          <w:sz w:val="32"/>
          <w:szCs w:val="32"/>
        </w:rPr>
        <w:t xml:space="preserve"> 股权转让方应按规定提供相关材料：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（一）转让方是自然人股东应提供以下材料：</w:t>
      </w:r>
    </w:p>
    <w:p w:rsidR="003861EF" w:rsidRDefault="00504491">
      <w:pPr>
        <w:pStyle w:val="11"/>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1.转让方的股权凭证原件</w:t>
      </w:r>
    </w:p>
    <w:p w:rsidR="003861EF" w:rsidRDefault="00504491">
      <w:pPr>
        <w:pStyle w:val="11"/>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2.转让方的身份证原件及复印件</w:t>
      </w:r>
    </w:p>
    <w:p w:rsidR="003861EF" w:rsidRDefault="00504491">
      <w:pPr>
        <w:pStyle w:val="11"/>
        <w:spacing w:line="560" w:lineRule="exact"/>
        <w:ind w:firstLineChars="190" w:firstLine="608"/>
        <w:rPr>
          <w:rFonts w:ascii="仿宋_GB2312" w:eastAsia="仿宋_GB2312" w:hAnsi="Times New Roman"/>
          <w:sz w:val="32"/>
          <w:szCs w:val="32"/>
        </w:rPr>
      </w:pPr>
      <w:r>
        <w:rPr>
          <w:rFonts w:ascii="仿宋_GB2312" w:eastAsia="仿宋_GB2312" w:hAnsi="Times New Roman" w:hint="eastAsia"/>
          <w:sz w:val="32"/>
          <w:szCs w:val="32"/>
        </w:rPr>
        <w:t>3.转让方的基本信息，如联系方式，电话号码</w:t>
      </w:r>
    </w:p>
    <w:p w:rsidR="003861EF" w:rsidRDefault="00504491">
      <w:pPr>
        <w:pStyle w:val="11"/>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4.本行、股权托管机构及银行业监管机构要求提供的其他材料</w:t>
      </w:r>
    </w:p>
    <w:p w:rsidR="003861EF" w:rsidRDefault="00504491">
      <w:pPr>
        <w:pStyle w:val="ae"/>
        <w:spacing w:line="560" w:lineRule="exact"/>
        <w:ind w:left="600" w:firstLineChars="0" w:firstLine="0"/>
        <w:rPr>
          <w:rFonts w:ascii="仿宋_GB2312"/>
          <w:kern w:val="2"/>
          <w:sz w:val="32"/>
          <w:szCs w:val="32"/>
        </w:rPr>
      </w:pPr>
      <w:r>
        <w:rPr>
          <w:rFonts w:ascii="仿宋_GB2312" w:hint="eastAsia"/>
          <w:kern w:val="2"/>
          <w:sz w:val="32"/>
          <w:szCs w:val="32"/>
        </w:rPr>
        <w:t>（二）转让方是法人股东应提供以下材料：</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1.转让方的股金转让申请书</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2.转让方的股权凭证原件</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3.转让方的营业执照（统一社会信用代码证）</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4.有权机构同意转让的批复（股东大会或董事会同意转让的决议）</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5.转让方法定代表人有效身份证件、授权委托书及经办人员有效身份证件原件及复印件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6.本行、股权托管机构及银行业监管机构要求提供的其他材料。</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第二十九条  </w:t>
      </w:r>
      <w:r>
        <w:rPr>
          <w:rFonts w:ascii="仿宋_GB2312" w:hint="eastAsia"/>
          <w:kern w:val="2"/>
          <w:sz w:val="32"/>
          <w:szCs w:val="32"/>
        </w:rPr>
        <w:t>股权受让方应按规定提供相关材料：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（一）受让方是自然人应按规定提供以下材料：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1.受让方有效身份证件原件及复印件；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2.受让方如有原持有我行股金，需提供股权凭证原件；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3.受让方的基本情况、受让方股金分红结算账户；</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4.入股资金真实证明，提供资金划转的凭证，如果没有，</w:t>
      </w:r>
      <w:r>
        <w:rPr>
          <w:rFonts w:ascii="仿宋_GB2312" w:eastAsia="仿宋_GB2312" w:hint="eastAsia"/>
          <w:kern w:val="2"/>
          <w:sz w:val="32"/>
          <w:szCs w:val="32"/>
        </w:rPr>
        <w:lastRenderedPageBreak/>
        <w:t>请写说明注明原因</w:t>
      </w:r>
    </w:p>
    <w:p w:rsidR="003861EF" w:rsidRDefault="00504491">
      <w:pPr>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5.征信报告</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6.本行、股权托管机构及银行业监管机构要求提供的其他材料。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（二）受让方是法人应按规定提供以下材料：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1.受让方的营业执照（统一社会信用代码证）</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2.受让方如有原持有我行股金，需提供股权凭证；</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3.股东（大）会/董事会同意转让股权的文件,如由董事会出具同意转让股份文件的，还需提交董事会的人员清单；</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4.工商部门备案的工商企业章程；</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5.工商部门出具的工商企业登记基本情况表</w:t>
      </w:r>
      <w:r w:rsidR="003327D2" w:rsidRPr="003327D2">
        <w:rPr>
          <w:rFonts w:ascii="仿宋_GB2312" w:hint="eastAsia"/>
          <w:kern w:val="2"/>
          <w:sz w:val="32"/>
          <w:szCs w:val="32"/>
          <w:highlight w:val="yellow"/>
        </w:rPr>
        <w:t>或者国家企业信用信息公示系统公示信息</w:t>
      </w:r>
      <w:r w:rsidRPr="003327D2">
        <w:rPr>
          <w:rFonts w:ascii="仿宋_GB2312" w:hint="eastAsia"/>
          <w:kern w:val="2"/>
          <w:sz w:val="32"/>
          <w:szCs w:val="32"/>
          <w:highlight w:val="yellow"/>
        </w:rPr>
        <w:t>；</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6.受让方法定代表人有效身份证件、授权委托书及经办人员有效身份证件原件及复印件；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7.由具备资格中介机构出具的最近两个会计年度经审计的财务会计报告及近期财务报表；</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8.法人股东基本情况简介及公司承诺书（包含控股股东、实际控制人、关联方、一致行动人、最终受益人等信息）；</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9.受让后股份达到本行资本总额或股份总额5%以上的，需提供监管部门审批要求的其他相关资料。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10.投资入股的资金来源非银行贷款证明及有关企业诚信状况的材料；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11.本行、股权托管机构及银行业监管机构要求提供的其他材料。</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lastRenderedPageBreak/>
        <w:t xml:space="preserve">第三十条  </w:t>
      </w:r>
      <w:r>
        <w:rPr>
          <w:rFonts w:ascii="仿宋_GB2312" w:hint="eastAsia"/>
          <w:kern w:val="2"/>
          <w:sz w:val="32"/>
          <w:szCs w:val="32"/>
        </w:rPr>
        <w:t>自然人股东办理股权转让，由转（受）让双方当事人办理，不得委托他人办理。法人股东办理股权转让，可以委托经办人员办理。</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第三十一条  </w:t>
      </w:r>
      <w:r>
        <w:rPr>
          <w:rFonts w:ascii="仿宋_GB2312" w:hint="eastAsia"/>
          <w:kern w:val="2"/>
          <w:sz w:val="32"/>
          <w:szCs w:val="32"/>
        </w:rPr>
        <w:t>自然人及境内非金融机构发起人持有的本行股份自本行成立之日起三年内不得转让。</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第三十二条  </w:t>
      </w:r>
      <w:r>
        <w:rPr>
          <w:rFonts w:ascii="仿宋_GB2312" w:hint="eastAsia"/>
          <w:kern w:val="2"/>
          <w:sz w:val="32"/>
          <w:szCs w:val="32"/>
        </w:rPr>
        <w:t>办理股权转让中的变更股东登记和相关公告等手续过程中，如有关部门收取的费用，由转让双方当事人承担。对转让过程中涉及的税费由双方自行缴纳。</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第三十三条  </w:t>
      </w:r>
      <w:r>
        <w:rPr>
          <w:rFonts w:ascii="仿宋_GB2312" w:hint="eastAsia"/>
          <w:kern w:val="2"/>
          <w:sz w:val="32"/>
          <w:szCs w:val="32"/>
        </w:rPr>
        <w:t>对因继承、赠与、离婚及司法判决等原因发生股份权属变更的审批事宜，参照本办法第二十五条的相关规定进行。</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第三十四条 </w:t>
      </w:r>
      <w:r>
        <w:rPr>
          <w:rFonts w:ascii="仿宋_GB2312" w:hint="eastAsia"/>
          <w:kern w:val="2"/>
          <w:sz w:val="32"/>
          <w:szCs w:val="32"/>
        </w:rPr>
        <w:t xml:space="preserve"> 因继承需转让股份的，需提供以下文件：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（一）继承人有效身份证明原件和复印件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（二）由公证处出具的《继承权公证书》或《遗嘱公证书》原件；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（三）继承人股权凭证原件和被继承人股权凭证原件（若有）</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第三十五条  </w:t>
      </w:r>
      <w:r>
        <w:rPr>
          <w:rFonts w:ascii="仿宋_GB2312" w:hint="eastAsia"/>
          <w:kern w:val="2"/>
          <w:sz w:val="32"/>
          <w:szCs w:val="32"/>
        </w:rPr>
        <w:t>因赠与转让股份的，需提供如下文件：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 xml:space="preserve">（一）经司法公证的赠与人签署的赠与转让文件； </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（二）受赠人同意受赠的声明。</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（三）受赠人有效身份证明原件和复印件；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（四）赠与人股权凭证原件和被赠与人股权凭证原件（若有）</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第三十六条 </w:t>
      </w:r>
      <w:r>
        <w:rPr>
          <w:rFonts w:ascii="仿宋_GB2312" w:hint="eastAsia"/>
          <w:kern w:val="2"/>
          <w:sz w:val="32"/>
          <w:szCs w:val="32"/>
        </w:rPr>
        <w:t xml:space="preserve"> 由于离婚导致财产分割原因需办理股权</w:t>
      </w:r>
      <w:r>
        <w:rPr>
          <w:rFonts w:ascii="仿宋_GB2312" w:hint="eastAsia"/>
          <w:kern w:val="2"/>
          <w:sz w:val="32"/>
          <w:szCs w:val="32"/>
        </w:rPr>
        <w:lastRenderedPageBreak/>
        <w:t>转让手续的，由出让方和受让方双方携带下列办理材料到符合要求的托管机构办理：</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（一）转让双方当事人有效身份证明原件和复印件；</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（二）出让方股权凭证；</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（三）受让方股权凭证（若有）；</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（四）具有法律效力的书面文件（包括但不限于民事判决书、调解书、裁定书以及公证书原件）或经公证的离婚财产分割协议原件（需明确股权分割内容）；</w:t>
      </w:r>
    </w:p>
    <w:p w:rsidR="003861EF" w:rsidRDefault="00504491">
      <w:pPr>
        <w:adjustRightInd w:val="0"/>
        <w:snapToGri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第三十七条  </w:t>
      </w:r>
      <w:r>
        <w:rPr>
          <w:rFonts w:ascii="仿宋_GB2312" w:eastAsia="仿宋_GB2312" w:hint="eastAsia"/>
          <w:kern w:val="2"/>
          <w:sz w:val="32"/>
          <w:szCs w:val="32"/>
        </w:rPr>
        <w:t>由于司法判决、调解、裁定以及仲裁裁决、调解原因需办理股权转让手续的，由受让方提供以下资料办理：</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（一）受让方有效身份证明原件和复印件；</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（二）出让方股权凭证原件；</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（三）受让方股权凭证原件（若有）；</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（四）《民事判决书》、《民事调解书》、《民事裁定书》、《仲裁裁决书》、《仲裁调解书》、《协助执行通知书》原件。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第三十八条  </w:t>
      </w:r>
      <w:r>
        <w:rPr>
          <w:rFonts w:ascii="仿宋_GB2312" w:hint="eastAsia"/>
          <w:kern w:val="2"/>
          <w:sz w:val="32"/>
          <w:szCs w:val="32"/>
        </w:rPr>
        <w:t>因股东原因发生本行股份被依法裁定拍卖等，依照国家相关法律法规程序办理。</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第三十九条 </w:t>
      </w:r>
      <w:r>
        <w:rPr>
          <w:rFonts w:ascii="仿宋_GB2312" w:hint="eastAsia"/>
          <w:kern w:val="2"/>
          <w:sz w:val="32"/>
          <w:szCs w:val="32"/>
        </w:rPr>
        <w:t xml:space="preserve"> 本行股份被依法裁定拍卖，拟参加拍买的买受人应符合银保监会、本行《章程》的有关规定。</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第四十条 </w:t>
      </w:r>
      <w:r>
        <w:rPr>
          <w:rFonts w:ascii="仿宋_GB2312" w:hint="eastAsia"/>
          <w:kern w:val="2"/>
          <w:sz w:val="32"/>
          <w:szCs w:val="32"/>
        </w:rPr>
        <w:t xml:space="preserve"> 本行股份被依法裁定拍卖后办理过户、登记手续，买受人或由买受人通过人民法院向本行提供下列文件：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（一）买受人股份过户申请书；</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lastRenderedPageBreak/>
        <w:t>（二）人民法院有关拍卖成交，权属变更的《民事裁定书》原件；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（三）人民法院有关拍卖成交，执行转让的《协助执行通知书》原件；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（四）股份买受人有效证件原件及复印件；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（五）原股份持有人股权凭证原件；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（六）本行要求提供的其他相关材料。</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无法提供原股份持有人股权凭证原件的，提供人民法院宣告该股权凭证失效的相关证明文件。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第四十一条  </w:t>
      </w:r>
      <w:r>
        <w:rPr>
          <w:rFonts w:ascii="仿宋_GB2312" w:hint="eastAsia"/>
          <w:kern w:val="2"/>
          <w:sz w:val="32"/>
          <w:szCs w:val="32"/>
        </w:rPr>
        <w:t>股份持有人因改制、股份重组、收购等原因导致其名称、性质等变更，应在变更后30日内及时向本行董事会办公室提交《股份信息变更申请书》，按照本行《章程》及有关规定提供相关资料，办理股东名称等变更登记手续。</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（一）法人股东需提交：</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1.由法定代表人（或授权代表人）签署并加盖法人公章的更名申请报告；</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2.公司（企业）登记机关的核准文件；</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3.工商部门出具的工商企业登记基本情况表</w:t>
      </w:r>
      <w:r w:rsidR="003327D2" w:rsidRPr="003327D2">
        <w:rPr>
          <w:rFonts w:ascii="仿宋_GB2312" w:eastAsia="仿宋_GB2312" w:hint="eastAsia"/>
          <w:kern w:val="2"/>
          <w:sz w:val="32"/>
          <w:szCs w:val="32"/>
          <w:highlight w:val="yellow"/>
        </w:rPr>
        <w:t>或者国家企业信用信息公示系统公示信息；</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4.营业执照（社会信用代码证），法定代表人身份证明；</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5.工商部门备案的工商企业（公司）章程；</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6.单位介绍信及经办人身份证等相关材料；</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7.股权凭证原件等相关材料。</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（二）自然人股东需提交:</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1.更名的申请报告；</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2.公安机关出具的自然人名称变更证明；</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3.身份证件；</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4.股权凭证原件等相关材料。</w:t>
      </w:r>
    </w:p>
    <w:p w:rsidR="003861EF" w:rsidRDefault="00504491">
      <w:pPr>
        <w:tabs>
          <w:tab w:val="left" w:pos="1960"/>
        </w:tabs>
        <w:autoSpaceDE w:val="0"/>
        <w:autoSpaceDN w:val="0"/>
        <w:adjustRightIn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（三）需变更分红账号的股份持有人为法人的，还需提供新分红账号的开户许可证原件（或开户申请书）及复印件；为自然人的需提供存折（卡）原件及复印件。变更后的分红账户户名必须与股东名称一致。</w:t>
      </w:r>
    </w:p>
    <w:p w:rsidR="003861EF" w:rsidRDefault="00504491">
      <w:pPr>
        <w:tabs>
          <w:tab w:val="left" w:pos="1960"/>
        </w:tabs>
        <w:autoSpaceDE w:val="0"/>
        <w:autoSpaceDN w:val="0"/>
        <w:adjustRightIn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（四）本行需要的其他有关材料。</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董事会办公室在收到股东信息变更材料后，如涉及名称变更，需提交股东大会审议通过后交清算中心办理，并提供给符合要求的托管机构进行股金托管凭证更名。如涉及股金分红账号变更，材料审核无误后，交清算中心进行变更。</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第四十二条 </w:t>
      </w:r>
      <w:r>
        <w:rPr>
          <w:rFonts w:ascii="仿宋_GB2312" w:hint="eastAsia"/>
          <w:kern w:val="2"/>
          <w:sz w:val="32"/>
          <w:szCs w:val="32"/>
        </w:rPr>
        <w:t xml:space="preserve"> 股份持有人因解散、破产、被依法责令关闭等原因，丧失法人资格而发生股份权属变更的，应在事实发生后30日内及时告知本行董事会办公室，提供合法有效的股份权属证明文件，按照本办法相关规定办理股份权属变更确认和登记、过户手续。</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第四十三条  </w:t>
      </w:r>
      <w:r>
        <w:rPr>
          <w:rFonts w:ascii="仿宋_GB2312" w:hint="eastAsia"/>
          <w:kern w:val="2"/>
          <w:sz w:val="32"/>
          <w:szCs w:val="32"/>
        </w:rPr>
        <w:t>本行不得收购本行股份。但是，有下列情形之一的，可以依照适用法律和本行《章程》的规定，经股东大会审议程序通过，并报国家有权部门批准后，可收购本行的股份:</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（一）减少本行注册资本；</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lastRenderedPageBreak/>
        <w:t>（二）与持有本行股份的其他公司合并；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（三）将股份奖励给本行职工；</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（四）股东因对股东大会作出的关于本行合并、分立决议持异议，要求本行收购其股份的；</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（五）适用法律规定以及国家有关部门批准的其他情形。</w:t>
      </w:r>
      <w:r>
        <w:rPr>
          <w:rFonts w:ascii="仿宋_GB2312" w:hint="eastAsia"/>
          <w:kern w:val="2"/>
          <w:sz w:val="32"/>
          <w:szCs w:val="32"/>
        </w:rPr>
        <w:t> </w:t>
      </w:r>
      <w:r>
        <w:rPr>
          <w:rFonts w:ascii="仿宋_GB2312" w:hint="eastAsia"/>
          <w:kern w:val="2"/>
          <w:sz w:val="32"/>
          <w:szCs w:val="32"/>
        </w:rPr>
        <w:t>本行因本条第(一)项至第(三)项的原因收购本行股份的，应当经股东大会决议。本行依照前款规定收购本行股份后，属于第(一)项情形的，应当自收购之日起10日内注销；属于第(二)项、第(四)项情形的，应当在6个月内转让或者注销。本行依照第(三)项收购的本行股份，不得超过本行已发行股份总额的5%；用于收购的资金应当从本行的税后利润中支出；所收购的股份应当在一年内转让给职工。</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第七章  股权质押管理</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第四十四条 </w:t>
      </w:r>
      <w:r>
        <w:rPr>
          <w:rFonts w:ascii="仿宋_GB2312" w:hint="eastAsia"/>
          <w:kern w:val="2"/>
          <w:sz w:val="32"/>
          <w:szCs w:val="32"/>
        </w:rPr>
        <w:t xml:space="preserve"> 本行不接受本行的股份作为质押权的标的。本行股东如有特殊需要，以本行股份为自己或他人在除本行外提供质押担保的，应事先提出书面申请，经董事会同意后办妥相关登记手续。</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第四十五条 </w:t>
      </w:r>
      <w:r>
        <w:rPr>
          <w:rFonts w:ascii="仿宋_GB2312" w:hint="eastAsia"/>
          <w:kern w:val="2"/>
          <w:sz w:val="32"/>
          <w:szCs w:val="32"/>
        </w:rPr>
        <w:t xml:space="preserve"> 拥有本行董、监事席位的股东，或直接、间接、共同持有或控制本行2%以上股份或表决权的股东出质本行股份，事前须向本行董事会申请备案，说明出质的原因、股权数额、质押期限、质押权人等基本情况。凡董事会认定对本行股权稳定、公司治理、风险与关联交易控制等存在重大不利影响的，应不予备案。在董事会审议相关备案事项时，由拟出质股东委派的股东应当回避。</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lastRenderedPageBreak/>
        <w:t xml:space="preserve">第四十六条 </w:t>
      </w:r>
      <w:r>
        <w:rPr>
          <w:rFonts w:ascii="仿宋_GB2312" w:hint="eastAsia"/>
          <w:kern w:val="2"/>
          <w:sz w:val="32"/>
          <w:szCs w:val="32"/>
        </w:rPr>
        <w:t xml:space="preserve"> 股东质押本行股份数量达到或超过其持有本行股份的50%时，本行将根据本行章程规定对其在本行股东大会和派出董事在董事会上的表决权进行限制，不得行使表决权。</w:t>
      </w:r>
    </w:p>
    <w:p w:rsidR="003861EF" w:rsidRDefault="00504491">
      <w:pPr>
        <w:autoSpaceDE w:val="0"/>
        <w:autoSpaceDN w:val="0"/>
        <w:adjustRightIn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第四十七条 </w:t>
      </w:r>
      <w:r>
        <w:rPr>
          <w:rFonts w:ascii="仿宋_GB2312" w:eastAsia="仿宋_GB2312" w:hint="eastAsia"/>
          <w:kern w:val="2"/>
          <w:sz w:val="32"/>
          <w:szCs w:val="32"/>
        </w:rPr>
        <w:t xml:space="preserve"> 质押登记的申请、受理</w:t>
      </w:r>
    </w:p>
    <w:p w:rsidR="003861EF" w:rsidRDefault="00504491">
      <w:pPr>
        <w:autoSpaceDE w:val="0"/>
        <w:autoSpaceDN w:val="0"/>
        <w:adjustRightIn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（一）以本行股权出质的，出质人与质权人应当签订股权质押书面合同，且在签订之日起十日内，质押当事人应当到本行质押登记机构办理股权质押登记，质押权自登记之日起生效。</w:t>
      </w:r>
    </w:p>
    <w:p w:rsidR="003861EF" w:rsidRDefault="00504491">
      <w:pPr>
        <w:tabs>
          <w:tab w:val="left" w:pos="196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（二）质押当事人应同时到本行办理质押登记手续，若仅有一方到登记机构办理质押登记的，必须持有另一方的授权委托书。</w:t>
      </w:r>
    </w:p>
    <w:p w:rsidR="003861EF" w:rsidRDefault="00504491">
      <w:pPr>
        <w:tabs>
          <w:tab w:val="left" w:pos="1960"/>
        </w:tabs>
        <w:autoSpaceDE w:val="0"/>
        <w:autoSpaceDN w:val="0"/>
        <w:adjustRightInd w:val="0"/>
        <w:spacing w:line="560" w:lineRule="exact"/>
        <w:ind w:firstLineChars="250" w:firstLine="800"/>
        <w:jc w:val="left"/>
        <w:rPr>
          <w:rFonts w:ascii="仿宋_GB2312" w:eastAsia="仿宋_GB2312"/>
          <w:kern w:val="2"/>
          <w:sz w:val="32"/>
          <w:szCs w:val="32"/>
        </w:rPr>
      </w:pPr>
      <w:r>
        <w:rPr>
          <w:rFonts w:ascii="仿宋_GB2312" w:eastAsia="仿宋_GB2312" w:hint="eastAsia"/>
          <w:kern w:val="2"/>
          <w:sz w:val="32"/>
          <w:szCs w:val="32"/>
        </w:rPr>
        <w:t>（三）本行股东以本行股份为自己或他人办理质押担保，遵照以下程序办理：</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1.向本行董事会办公室提出股份出质申请书，填写《股份质押登记申请表》，并提交股份质押登记对应的质押合同原件及复印件，出质人股权凭证原件及复印件，出质人有效证件原件及复印件，质权人同意出质人将本行股权质押的书面证明原件，其他相关材料。</w:t>
      </w:r>
    </w:p>
    <w:p w:rsidR="003861EF" w:rsidRDefault="00504491">
      <w:pPr>
        <w:pStyle w:val="ae"/>
        <w:spacing w:line="560" w:lineRule="exact"/>
        <w:ind w:firstLine="640"/>
        <w:rPr>
          <w:rFonts w:ascii="仿宋_GB2312"/>
          <w:kern w:val="2"/>
          <w:sz w:val="32"/>
          <w:szCs w:val="32"/>
        </w:rPr>
      </w:pPr>
      <w:r w:rsidRPr="00D232D1">
        <w:rPr>
          <w:rFonts w:ascii="仿宋_GB2312" w:hint="eastAsia"/>
          <w:kern w:val="2"/>
          <w:sz w:val="32"/>
          <w:szCs w:val="32"/>
          <w:highlight w:val="yellow"/>
        </w:rPr>
        <w:t>2.董事会办公室对股份质押申请进行合规性初审</w:t>
      </w:r>
      <w:r w:rsidR="00D232D1" w:rsidRPr="00D232D1">
        <w:rPr>
          <w:rFonts w:ascii="仿宋_GB2312" w:hint="eastAsia"/>
          <w:kern w:val="2"/>
          <w:sz w:val="32"/>
          <w:szCs w:val="32"/>
          <w:highlight w:val="yellow"/>
        </w:rPr>
        <w:t>后，由风险管理部从信贷资产安全管理角度进行审查，</w:t>
      </w:r>
      <w:r w:rsidRPr="00D232D1">
        <w:rPr>
          <w:rFonts w:ascii="仿宋_GB2312" w:hint="eastAsia"/>
          <w:kern w:val="2"/>
          <w:sz w:val="32"/>
          <w:szCs w:val="32"/>
          <w:highlight w:val="yellow"/>
        </w:rPr>
        <w:t>提交董事会审批。</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3.完成审批流程后，质押双方应到工商注册登记机关办理股份质押登记，并向本行董事会办公室提交工商注册登记</w:t>
      </w:r>
      <w:r>
        <w:rPr>
          <w:rFonts w:ascii="仿宋_GB2312" w:hint="eastAsia"/>
          <w:kern w:val="2"/>
          <w:sz w:val="32"/>
          <w:szCs w:val="32"/>
        </w:rPr>
        <w:lastRenderedPageBreak/>
        <w:t>机关出具的股份出质登记证明文件。</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4.本行董事会办公室将工商部门出具的《股份出质设立登记通知书》交清算中心办理股份出质登记记载，清算中心在系统中将出质股权予以冻结。</w:t>
      </w:r>
    </w:p>
    <w:p w:rsidR="003861EF" w:rsidRDefault="00504491" w:rsidP="009E55D4">
      <w:pPr>
        <w:pStyle w:val="ae"/>
        <w:spacing w:line="560" w:lineRule="exact"/>
        <w:ind w:firstLineChars="249" w:firstLine="797"/>
        <w:rPr>
          <w:rFonts w:ascii="仿宋_GB2312"/>
          <w:kern w:val="2"/>
          <w:sz w:val="32"/>
          <w:szCs w:val="32"/>
        </w:rPr>
      </w:pPr>
      <w:r>
        <w:rPr>
          <w:rFonts w:ascii="仿宋_GB2312" w:hint="eastAsia"/>
          <w:kern w:val="2"/>
          <w:sz w:val="32"/>
          <w:szCs w:val="32"/>
        </w:rPr>
        <w:t>（四）自然人股东办理股份质押担保申请，由本人办理，不得委托他人办理。法人股东办理股份质押担保申请，可以委托经办人员办理。</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第四十八条  </w:t>
      </w:r>
      <w:r>
        <w:rPr>
          <w:rFonts w:ascii="仿宋_GB2312" w:hint="eastAsia"/>
          <w:kern w:val="2"/>
          <w:sz w:val="32"/>
          <w:szCs w:val="32"/>
        </w:rPr>
        <w:t>质押登记的审核和管理</w:t>
      </w:r>
    </w:p>
    <w:p w:rsidR="003861EF" w:rsidRDefault="00504491">
      <w:pPr>
        <w:tabs>
          <w:tab w:val="left" w:pos="1960"/>
        </w:tabs>
        <w:autoSpaceDE w:val="0"/>
        <w:autoSpaceDN w:val="0"/>
        <w:adjustRightInd w:val="0"/>
        <w:spacing w:line="560" w:lineRule="exact"/>
        <w:ind w:firstLineChars="150" w:firstLine="480"/>
        <w:rPr>
          <w:rFonts w:ascii="仿宋_GB2312" w:eastAsia="仿宋_GB2312"/>
          <w:kern w:val="2"/>
          <w:sz w:val="32"/>
          <w:szCs w:val="32"/>
        </w:rPr>
      </w:pPr>
      <w:r>
        <w:rPr>
          <w:rFonts w:ascii="仿宋_GB2312" w:eastAsia="仿宋_GB2312" w:hint="eastAsia"/>
          <w:kern w:val="2"/>
          <w:sz w:val="32"/>
          <w:szCs w:val="32"/>
        </w:rPr>
        <w:t>（一）本行质押登记机构对申请资料进行审查，经审核符合本办法有关规定的，予以办理质押登记手续。</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（二）本行股份存在下列情形的，不得对外予以质押：</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1.本行董事、监事、高级管理人员在任职期间及在离职后半年内所持有的本行股份；</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2.以本行股份作为质权标的向本行质押的；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3.在本行的借款余额超过其持有经审计的上一年度股份净值，且未提供银行存单或保证金担保的；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4.股东在本行有逾期未清偿债务的，在该笔债务未清偿之前，该股东持有的本行股份不得质押。</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5.本行章程、有关协议禁止出质，或其他在限制转让期限内的；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6.权属关系不明、存在纠纷等影响到出质股份价值和处分权利的，或价值难以评估的；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7.被依法冻结、查封、扣押或采取其他强制措施的；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8.按要求在出质前应向本行董事会备案而未备案的；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9.本行董事会认定对本行股权稳定、公司治理、风险与关联交易控制等存在重大不利影响，不予备案的；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10.涉及重复质押或银保监会认定的其他不审慎行为的；</w:t>
      </w:r>
    </w:p>
    <w:p w:rsidR="003861EF" w:rsidRDefault="00504491">
      <w:pPr>
        <w:adjustRightInd w:val="0"/>
        <w:snapToGrid w:val="0"/>
        <w:spacing w:line="560" w:lineRule="exact"/>
        <w:ind w:firstLineChars="200" w:firstLine="640"/>
        <w:rPr>
          <w:rFonts w:ascii="仿宋_GB2312" w:eastAsia="仿宋_GB2312"/>
          <w:kern w:val="2"/>
          <w:sz w:val="32"/>
          <w:szCs w:val="32"/>
        </w:rPr>
      </w:pPr>
      <w:r>
        <w:rPr>
          <w:rFonts w:ascii="仿宋_GB2312" w:eastAsia="仿宋_GB2312" w:hint="eastAsia"/>
          <w:kern w:val="2"/>
          <w:sz w:val="32"/>
          <w:szCs w:val="32"/>
        </w:rPr>
        <w:t>11.其他法律法规、监管规定不允许出质的情形。</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（三）质押登记机构应向质权人核发《股权质押登记证明书》，质押时间跨年度的，应向工商行政管理部门报备。本行应将股东的股权出质情况记载于股东名册，登记好股权警示台账。</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（四）在股权质押合同有效期间内，本行暂不受理已出质股权的变更登记工作，但经出质人与质权人协商同意转让的除外。</w:t>
      </w:r>
    </w:p>
    <w:p w:rsidR="003861EF" w:rsidRDefault="00504491">
      <w:pPr>
        <w:pStyle w:val="ae"/>
        <w:spacing w:line="560" w:lineRule="exact"/>
        <w:ind w:firstLineChars="148" w:firstLine="475"/>
        <w:rPr>
          <w:rFonts w:ascii="仿宋_GB2312"/>
          <w:kern w:val="2"/>
          <w:sz w:val="32"/>
          <w:szCs w:val="32"/>
        </w:rPr>
      </w:pPr>
      <w:r>
        <w:rPr>
          <w:rFonts w:ascii="仿宋_GB2312" w:hint="eastAsia"/>
          <w:b/>
          <w:bCs/>
          <w:kern w:val="2"/>
          <w:sz w:val="32"/>
          <w:szCs w:val="32"/>
        </w:rPr>
        <w:t xml:space="preserve">第四十九条  </w:t>
      </w:r>
      <w:r>
        <w:rPr>
          <w:rFonts w:ascii="仿宋_GB2312" w:hint="eastAsia"/>
          <w:kern w:val="2"/>
          <w:sz w:val="32"/>
          <w:szCs w:val="32"/>
        </w:rPr>
        <w:t>质押登记的变更、终止</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（一）质押登记事项发生变更的，出质人应首先征得质权人的同意，并取得其书面同意文件后15日内向本行及本行工商注册登记机关申请变更登记。</w:t>
      </w:r>
    </w:p>
    <w:p w:rsidR="003861EF" w:rsidRDefault="00504491">
      <w:pPr>
        <w:pStyle w:val="ae"/>
        <w:spacing w:line="560" w:lineRule="exact"/>
        <w:ind w:firstLine="640"/>
        <w:rPr>
          <w:rFonts w:ascii="仿宋_GB2312"/>
          <w:kern w:val="2"/>
          <w:sz w:val="32"/>
          <w:szCs w:val="32"/>
        </w:rPr>
      </w:pPr>
      <w:r>
        <w:rPr>
          <w:rFonts w:ascii="仿宋_GB2312" w:hint="eastAsia"/>
          <w:kern w:val="2"/>
          <w:sz w:val="32"/>
          <w:szCs w:val="32"/>
        </w:rPr>
        <w:t>（二）质押合同解除或终止，质权人应出具解除或终止质押登记通知书。出质双方应自质押合同终止之日起15日内持质权人出具的质押合同终止证明文件和本行工商注册登记机关出具的《股份出质注销登记通知书》办理解除质押手续，如未接到本行工商注册登记机关的《股份出质注销登记通知书》，本行不得办理已出质股份的撤销以及变动手续。</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（三）质押合同按质押期限自然终止的，本行自动解除质押登记手续。</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（四）出质人如有死亡，其合法继承人依法办理股权过</w:t>
      </w:r>
      <w:r>
        <w:rPr>
          <w:rFonts w:ascii="仿宋_GB2312" w:eastAsia="仿宋_GB2312" w:hint="eastAsia"/>
          <w:kern w:val="2"/>
          <w:sz w:val="32"/>
          <w:szCs w:val="32"/>
        </w:rPr>
        <w:lastRenderedPageBreak/>
        <w:t>户和继承手续，并继续履行原出质人签订的质押合同；若无继承人履行合同，质权人依法处置后，须持有关法律手续方可到本行办理股权转让手续。股权转让须符合本行相关规定要求。</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（五）股权质押登记有效期间，若发生股权凭证遗失、被盗等，本行不受理补发新证，待质押期限届满或提前终止解除后，方可办理新证补发手续。</w:t>
      </w:r>
    </w:p>
    <w:p w:rsidR="003861EF" w:rsidRDefault="00504491">
      <w:pPr>
        <w:tabs>
          <w:tab w:val="left" w:pos="2280"/>
        </w:tabs>
        <w:autoSpaceDE w:val="0"/>
        <w:autoSpaceDN w:val="0"/>
        <w:adjustRightInd w:val="0"/>
        <w:spacing w:line="560" w:lineRule="exact"/>
        <w:ind w:firstLine="622"/>
        <w:rPr>
          <w:rFonts w:ascii="仿宋_GB2312" w:eastAsia="仿宋_GB2312"/>
          <w:kern w:val="2"/>
          <w:sz w:val="32"/>
          <w:szCs w:val="32"/>
        </w:rPr>
      </w:pPr>
      <w:r>
        <w:rPr>
          <w:rFonts w:ascii="仿宋_GB2312" w:eastAsia="仿宋_GB2312" w:hint="eastAsia"/>
          <w:kern w:val="2"/>
          <w:sz w:val="32"/>
          <w:szCs w:val="32"/>
        </w:rPr>
        <w:t>（六）质押期间，出质人和质权人产生经济纠纷，依法处理涉及本行股权的，须持有关法律手续方可到本行办理股权质押登记取消和转让手续。办理股权转让的，须符合本行相关规定要求。</w:t>
      </w:r>
    </w:p>
    <w:p w:rsidR="003861EF" w:rsidRDefault="00504491">
      <w:pPr>
        <w:autoSpaceDE w:val="0"/>
        <w:autoSpaceDN w:val="0"/>
        <w:adjustRightInd w:val="0"/>
        <w:spacing w:line="560" w:lineRule="exact"/>
        <w:ind w:firstLine="622"/>
        <w:jc w:val="left"/>
        <w:rPr>
          <w:rFonts w:ascii="仿宋_GB2312" w:eastAsia="仿宋_GB2312"/>
          <w:kern w:val="2"/>
          <w:sz w:val="32"/>
          <w:szCs w:val="32"/>
        </w:rPr>
      </w:pPr>
      <w:r>
        <w:rPr>
          <w:rFonts w:ascii="仿宋_GB2312" w:eastAsia="仿宋_GB2312" w:hint="eastAsia"/>
          <w:b/>
          <w:bCs/>
          <w:kern w:val="2"/>
          <w:sz w:val="32"/>
          <w:szCs w:val="32"/>
        </w:rPr>
        <w:t>第五十条</w:t>
      </w:r>
      <w:r>
        <w:rPr>
          <w:rFonts w:ascii="仿宋_GB2312" w:eastAsia="仿宋_GB2312" w:hint="eastAsia"/>
          <w:b/>
          <w:bCs/>
          <w:kern w:val="2"/>
          <w:sz w:val="32"/>
          <w:szCs w:val="32"/>
        </w:rPr>
        <w:tab/>
      </w:r>
      <w:r>
        <w:rPr>
          <w:rFonts w:ascii="仿宋_GB2312" w:eastAsia="仿宋_GB2312" w:hint="eastAsia"/>
          <w:kern w:val="2"/>
          <w:sz w:val="32"/>
          <w:szCs w:val="32"/>
        </w:rPr>
        <w:t>本行股权质押登记必须坚持公正、公平的原则依法维护质押当事人的合法权益，为质押各方提供优质服务。</w:t>
      </w:r>
    </w:p>
    <w:p w:rsidR="003861EF" w:rsidRDefault="00504491">
      <w:pPr>
        <w:tabs>
          <w:tab w:val="left" w:pos="2580"/>
        </w:tabs>
        <w:autoSpaceDE w:val="0"/>
        <w:autoSpaceDN w:val="0"/>
        <w:adjustRightInd w:val="0"/>
        <w:spacing w:line="560" w:lineRule="exact"/>
        <w:ind w:firstLine="622"/>
        <w:jc w:val="left"/>
        <w:rPr>
          <w:rFonts w:ascii="仿宋_GB2312" w:eastAsia="仿宋_GB2312"/>
          <w:kern w:val="2"/>
          <w:sz w:val="32"/>
          <w:szCs w:val="32"/>
        </w:rPr>
      </w:pPr>
      <w:r>
        <w:rPr>
          <w:rFonts w:ascii="仿宋_GB2312" w:eastAsia="仿宋_GB2312" w:hint="eastAsia"/>
          <w:b/>
          <w:bCs/>
          <w:kern w:val="2"/>
          <w:sz w:val="32"/>
          <w:szCs w:val="32"/>
        </w:rPr>
        <w:t>第五十一条</w:t>
      </w:r>
      <w:r>
        <w:rPr>
          <w:rFonts w:ascii="仿宋_GB2312" w:eastAsia="仿宋_GB2312" w:hint="eastAsia"/>
          <w:b/>
          <w:bCs/>
          <w:kern w:val="2"/>
          <w:sz w:val="32"/>
          <w:szCs w:val="32"/>
        </w:rPr>
        <w:tab/>
      </w:r>
      <w:r>
        <w:rPr>
          <w:rFonts w:ascii="仿宋_GB2312" w:eastAsia="仿宋_GB2312" w:hint="eastAsia"/>
          <w:kern w:val="2"/>
          <w:sz w:val="32"/>
          <w:szCs w:val="32"/>
        </w:rPr>
        <w:t>在质押登记过程中，因本行质押登记机构的故意 或过失造成质押各方当事人损失的，应承担相应责任。</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第八章  股金分红</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第五十二条  </w:t>
      </w:r>
      <w:r>
        <w:rPr>
          <w:rFonts w:ascii="仿宋_GB2312" w:hint="eastAsia"/>
          <w:kern w:val="2"/>
          <w:sz w:val="32"/>
          <w:szCs w:val="32"/>
        </w:rPr>
        <w:t>本行可以采取现金或者股份方式分配红利。</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第五十三条  </w:t>
      </w:r>
      <w:r>
        <w:rPr>
          <w:rFonts w:ascii="仿宋_GB2312" w:hint="eastAsia"/>
          <w:kern w:val="2"/>
          <w:sz w:val="32"/>
          <w:szCs w:val="32"/>
        </w:rPr>
        <w:t>本行财务计划部按照有关财务规定以及银保监会和省联社要求，根据年度会计决算利润、拨备、资本充足率等指标情况，拟定利润分配及股金分红方案，提交股东大会审议。以现金方式分配红利的，需向监管部门报备；</w:t>
      </w:r>
      <w:r>
        <w:rPr>
          <w:rFonts w:ascii="仿宋_GB2312" w:hint="eastAsia"/>
          <w:kern w:val="2"/>
          <w:sz w:val="32"/>
          <w:szCs w:val="32"/>
        </w:rPr>
        <w:lastRenderedPageBreak/>
        <w:t>以股份方式分配红利的，需经监管部门批准。本行财务计划部须在股东大会召开后在规定时间内完成红利（或股份）的派发事项。</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第五十四条  </w:t>
      </w:r>
      <w:r>
        <w:rPr>
          <w:rFonts w:ascii="仿宋_GB2312" w:hint="eastAsia"/>
          <w:kern w:val="2"/>
          <w:sz w:val="32"/>
          <w:szCs w:val="32"/>
        </w:rPr>
        <w:t>为了确保股金红利及时分配到股东手中，本行与股东约定自然人股东分配的红利以转账方式转存至其在营业网点开设的个人结算账户中，法人股东分配的红利转入其存款账户中。涉及法院冻结、止付等情况的，相关股金红利自动扣划在我行其他应付款中，等法院解冻、解止付后办理入账手续。</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第五十五条 </w:t>
      </w:r>
      <w:r>
        <w:rPr>
          <w:rFonts w:ascii="仿宋_GB2312" w:hint="eastAsia"/>
          <w:kern w:val="2"/>
          <w:sz w:val="32"/>
          <w:szCs w:val="32"/>
        </w:rPr>
        <w:t xml:space="preserve"> 自然人股东分配的红利，按规定由本行代扣代缴个人所得税，法人股东的涉税事项由法人单位按税法要求按章纳税。</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第九章  信息披露</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w:t>
      </w:r>
      <w:r>
        <w:rPr>
          <w:rFonts w:ascii="仿宋_GB2312" w:eastAsia="仿宋_GB2312" w:hAnsi="Times New Roman" w:cs="Times New Roman" w:hint="eastAsia"/>
          <w:b/>
          <w:bCs/>
          <w:color w:val="000000"/>
          <w:kern w:val="2"/>
          <w:sz w:val="32"/>
          <w:szCs w:val="32"/>
        </w:rPr>
        <w:t xml:space="preserve">第五十六条  </w:t>
      </w:r>
      <w:r>
        <w:rPr>
          <w:rFonts w:ascii="仿宋_GB2312" w:eastAsia="仿宋_GB2312" w:hAnsi="Times New Roman" w:cs="Times New Roman" w:hint="eastAsia"/>
          <w:kern w:val="2"/>
          <w:sz w:val="32"/>
          <w:szCs w:val="32"/>
        </w:rPr>
        <w:t>主要股东应当及时、准确、完整地向本行报告以下信息：</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（一）自身经营状况、财务信息、股权结构；</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（二）入股商业银行的资金来源；</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（三）控股股东、实际控制人、关联方、一致行动人、最终受益人及其变动情况；</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（四）所持本行股权被采取诉讼保全措施或者被强制执行；</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（五）所持本行股权被质押或者解押；</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（六）名称变更；</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（七）合并、分立；</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lastRenderedPageBreak/>
        <w:t xml:space="preserve">　　（八）被采取责令停业整顿、指定托管、接管或撤销等监管措施，或者进入解散、破产、清算程序；</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（九）其他可能影响股东资质条件变化或导致所持本行股权发生变化的情况。</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w:t>
      </w:r>
      <w:r>
        <w:rPr>
          <w:rFonts w:ascii="仿宋_GB2312" w:eastAsia="仿宋_GB2312" w:hAnsi="Times New Roman" w:cs="Times New Roman" w:hint="eastAsia"/>
          <w:b/>
          <w:bCs/>
          <w:color w:val="000000"/>
          <w:kern w:val="2"/>
          <w:sz w:val="32"/>
          <w:szCs w:val="32"/>
        </w:rPr>
        <w:t xml:space="preserve">　第五十七条 </w:t>
      </w:r>
      <w:r>
        <w:rPr>
          <w:rFonts w:ascii="仿宋_GB2312" w:eastAsia="仿宋_GB2312" w:hAnsi="Times New Roman" w:cs="Times New Roman" w:hint="eastAsia"/>
          <w:kern w:val="2"/>
          <w:sz w:val="32"/>
          <w:szCs w:val="32"/>
        </w:rPr>
        <w:t xml:space="preserve"> 本行应通过半年报或年报在官方网站等渠道真实、准确、完整地披露股权信息，披露内容包括：</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（一）报告期末股票、股东总数及报告期间股票变动情况；</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（二）报告期末公司前十大股东持股情况；</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（三）报告期末主要股东及其控股股东、实际控制人、关联方、一致行动人、最终受益人情况；</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（四）报告期内与主要股东及其控股股东、实际控制人、关联方、一致行动人、最终受益人关联交易情况；</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（五）主要股东出质银行股权情况；</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（六）股东提名董事、监事情况；</w:t>
      </w:r>
    </w:p>
    <w:p w:rsidR="003861EF" w:rsidRDefault="00504491">
      <w:pPr>
        <w:pStyle w:val="ab"/>
        <w:spacing w:before="0" w:beforeAutospacing="0" w:after="0" w:afterAutospacing="0" w:line="560" w:lineRule="exact"/>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 xml:space="preserve">　　（七）法律、法规及本行章程规定的其他信息。</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b/>
          <w:bCs/>
          <w:color w:val="000000"/>
          <w:kern w:val="2"/>
          <w:sz w:val="32"/>
          <w:szCs w:val="32"/>
        </w:rPr>
        <w:t xml:space="preserve">　　第五十八条</w:t>
      </w:r>
      <w:r>
        <w:rPr>
          <w:rFonts w:ascii="仿宋_GB2312" w:eastAsia="仿宋_GB2312" w:hAnsi="Times New Roman" w:cs="Times New Roman" w:hint="eastAsia"/>
          <w:kern w:val="2"/>
          <w:sz w:val="32"/>
          <w:szCs w:val="32"/>
        </w:rPr>
        <w:t>主要股东相关信息可能影响股东资质条件发生重大变化或导致所持本行股权发生重大变化的，董事会办公室应及时进行信息披露。</w:t>
      </w:r>
    </w:p>
    <w:p w:rsidR="003861EF" w:rsidRDefault="00504491">
      <w:pPr>
        <w:pStyle w:val="ab"/>
        <w:spacing w:before="0" w:beforeAutospacing="0" w:after="0" w:afterAutospacing="0" w:line="560" w:lineRule="exact"/>
        <w:jc w:val="both"/>
        <w:rPr>
          <w:rFonts w:ascii="仿宋_GB2312" w:eastAsia="仿宋_GB2312" w:hAnsi="Times New Roman" w:cs="Times New Roman"/>
          <w:kern w:val="2"/>
          <w:sz w:val="32"/>
          <w:szCs w:val="32"/>
        </w:rPr>
      </w:pPr>
      <w:r>
        <w:rPr>
          <w:rFonts w:ascii="仿宋_GB2312" w:eastAsia="仿宋_GB2312" w:hAnsi="Times New Roman" w:cs="Times New Roman" w:hint="eastAsia"/>
          <w:b/>
          <w:bCs/>
          <w:color w:val="000000"/>
          <w:kern w:val="2"/>
          <w:sz w:val="32"/>
          <w:szCs w:val="32"/>
        </w:rPr>
        <w:t xml:space="preserve">　　第五十九条</w:t>
      </w:r>
      <w:r>
        <w:rPr>
          <w:rFonts w:ascii="仿宋_GB2312" w:eastAsia="仿宋_GB2312" w:hAnsi="Times New Roman" w:cs="Times New Roman" w:hint="eastAsia"/>
          <w:kern w:val="2"/>
          <w:sz w:val="32"/>
          <w:szCs w:val="32"/>
        </w:rPr>
        <w:t>对于应当报请银保监会或其派出机构批准但尚未获得批准的股权事项，董事会办公室应在信息披露时应当作出说明。</w:t>
      </w:r>
    </w:p>
    <w:p w:rsidR="003861EF" w:rsidRDefault="00504491">
      <w:pPr>
        <w:pStyle w:val="a0"/>
        <w:spacing w:line="560" w:lineRule="exact"/>
        <w:ind w:firstLine="643"/>
        <w:rPr>
          <w:rFonts w:ascii="仿宋_GB2312"/>
          <w:kern w:val="2"/>
        </w:rPr>
      </w:pPr>
      <w:r>
        <w:rPr>
          <w:rFonts w:ascii="仿宋_GB2312" w:hint="eastAsia"/>
          <w:b/>
          <w:bCs/>
          <w:kern w:val="2"/>
        </w:rPr>
        <w:t xml:space="preserve">第六十条  </w:t>
      </w:r>
      <w:r>
        <w:rPr>
          <w:rFonts w:ascii="仿宋_GB2312" w:hint="eastAsia"/>
          <w:kern w:val="2"/>
        </w:rPr>
        <w:t>对隐瞒或提供虚假资料、违背承诺事项、存在干预机构正常经营等行为的股东，应建立“黑名单”，并</w:t>
      </w:r>
      <w:r>
        <w:rPr>
          <w:rFonts w:ascii="仿宋_GB2312" w:hint="eastAsia"/>
          <w:kern w:val="2"/>
        </w:rPr>
        <w:lastRenderedPageBreak/>
        <w:t>向属地监管部门报告。一旦发现任何对主要股东资质产生负面影响的重大信息，应立即向监管部门报告。</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第十章  其他规定</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第六十一条  </w:t>
      </w:r>
      <w:r>
        <w:rPr>
          <w:rFonts w:ascii="仿宋_GB2312" w:hint="eastAsia"/>
          <w:kern w:val="2"/>
          <w:sz w:val="32"/>
          <w:szCs w:val="32"/>
        </w:rPr>
        <w:t>本行股东的股份因司法等原因被冻结的，清算中心根据司法等部门提交的文件冻结相应股份，将《股份冻结通知书》交董事会办公室，董事会办公室书面通知股东，依法解冻后，书面通知股东股份解冻情况。</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第六十二条  </w:t>
      </w:r>
      <w:r>
        <w:rPr>
          <w:rFonts w:ascii="仿宋_GB2312" w:hint="eastAsia"/>
          <w:kern w:val="2"/>
          <w:sz w:val="32"/>
          <w:szCs w:val="32"/>
        </w:rPr>
        <w:t>本行不予受理除股东和有权查询机关以外的股份查询。股东查询，需提供有效身份证明原件（法人股东还需提供单位《介绍信》）；有权查询机关查询，需提供单位《介绍信》和查询人有效身份证明原件。</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第六十三条 </w:t>
      </w:r>
      <w:r>
        <w:rPr>
          <w:rFonts w:ascii="仿宋_GB2312" w:hint="eastAsia"/>
          <w:kern w:val="2"/>
          <w:sz w:val="32"/>
          <w:szCs w:val="32"/>
        </w:rPr>
        <w:t xml:space="preserve"> 本行股东大会召开前二十日内或者本行决定分配股利的基准日前五日内，不得进行前款规定的股东名册的变更登记。</w:t>
      </w:r>
    </w:p>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第六十四条  </w:t>
      </w:r>
      <w:bookmarkStart w:id="0" w:name="_GoBack"/>
      <w:r>
        <w:rPr>
          <w:rFonts w:ascii="仿宋_GB2312" w:hint="eastAsia"/>
          <w:kern w:val="2"/>
          <w:sz w:val="32"/>
          <w:szCs w:val="32"/>
        </w:rPr>
        <w:t>本行股份权属变更必须在本行指定的地点，按照本办法的规定，办理相关手续。未在本行办理过户、登记等手续的权属变更行为，本行一律不予承认。</w:t>
      </w:r>
    </w:p>
    <w:bookmarkEnd w:id="0"/>
    <w:p w:rsidR="003861EF" w:rsidRDefault="00504491">
      <w:pPr>
        <w:pStyle w:val="ae"/>
        <w:spacing w:line="560" w:lineRule="exact"/>
        <w:ind w:firstLine="643"/>
        <w:rPr>
          <w:rFonts w:ascii="仿宋_GB2312"/>
          <w:kern w:val="2"/>
          <w:sz w:val="32"/>
          <w:szCs w:val="32"/>
        </w:rPr>
      </w:pPr>
      <w:r>
        <w:rPr>
          <w:rFonts w:ascii="仿宋_GB2312" w:hint="eastAsia"/>
          <w:b/>
          <w:bCs/>
          <w:kern w:val="2"/>
          <w:sz w:val="32"/>
          <w:szCs w:val="32"/>
        </w:rPr>
        <w:t xml:space="preserve">第六十五条  </w:t>
      </w:r>
      <w:r>
        <w:rPr>
          <w:rFonts w:ascii="仿宋_GB2312" w:hint="eastAsia"/>
          <w:kern w:val="2"/>
          <w:sz w:val="32"/>
          <w:szCs w:val="32"/>
        </w:rPr>
        <w:t>由于司法介入等其他原因导致股份权属变更不符合本行《章程》规定，本行要向相关司法机关提起异议并向监管部门报告。</w:t>
      </w:r>
    </w:p>
    <w:p w:rsidR="003861EF" w:rsidRDefault="00504491" w:rsidP="00C207E3">
      <w:pPr>
        <w:spacing w:beforeLines="50" w:afterLines="50" w:line="560" w:lineRule="exact"/>
        <w:jc w:val="center"/>
        <w:rPr>
          <w:rFonts w:ascii="黑体" w:eastAsia="黑体" w:hAnsi="黑体"/>
          <w:sz w:val="32"/>
          <w:szCs w:val="32"/>
        </w:rPr>
      </w:pPr>
      <w:r>
        <w:rPr>
          <w:rFonts w:ascii="黑体" w:eastAsia="黑体" w:hAnsi="黑体" w:hint="eastAsia"/>
          <w:sz w:val="32"/>
          <w:szCs w:val="32"/>
        </w:rPr>
        <w:t>第十一章  附  则</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 xml:space="preserve">第六十六条 </w:t>
      </w:r>
      <w:r>
        <w:rPr>
          <w:rFonts w:ascii="仿宋_GB2312" w:eastAsia="仿宋_GB2312" w:hint="eastAsia"/>
          <w:kern w:val="2"/>
          <w:sz w:val="32"/>
          <w:szCs w:val="32"/>
        </w:rPr>
        <w:t xml:space="preserve"> 本办法所称“以上”均含本数，“以下”“不足”不含本数。</w:t>
      </w:r>
    </w:p>
    <w:p w:rsidR="003861EF" w:rsidRDefault="00504491">
      <w:pPr>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lastRenderedPageBreak/>
        <w:t xml:space="preserve">第六十七条　</w:t>
      </w:r>
      <w:r>
        <w:rPr>
          <w:rFonts w:ascii="仿宋_GB2312" w:eastAsia="仿宋_GB2312" w:hint="eastAsia"/>
          <w:kern w:val="2"/>
          <w:sz w:val="32"/>
          <w:szCs w:val="32"/>
        </w:rPr>
        <w:t>本办法由江苏扬州农村商业银行股份有限公司董事会负责修改和解释。</w:t>
      </w:r>
    </w:p>
    <w:p w:rsidR="003861EF" w:rsidRDefault="00504491">
      <w:pPr>
        <w:adjustRightInd w:val="0"/>
        <w:snapToGrid w:val="0"/>
        <w:spacing w:line="560" w:lineRule="exact"/>
        <w:ind w:firstLineChars="200" w:firstLine="643"/>
        <w:rPr>
          <w:rFonts w:ascii="仿宋_GB2312" w:eastAsia="仿宋_GB2312"/>
          <w:kern w:val="2"/>
          <w:sz w:val="32"/>
          <w:szCs w:val="32"/>
        </w:rPr>
      </w:pPr>
      <w:r>
        <w:rPr>
          <w:rFonts w:ascii="仿宋_GB2312" w:eastAsia="仿宋_GB2312" w:hint="eastAsia"/>
          <w:b/>
          <w:bCs/>
          <w:kern w:val="2"/>
          <w:sz w:val="32"/>
          <w:szCs w:val="32"/>
        </w:rPr>
        <w:t>第六十八条</w:t>
      </w:r>
      <w:r>
        <w:rPr>
          <w:rFonts w:ascii="仿宋_GB2312" w:eastAsia="仿宋_GB2312" w:hint="eastAsia"/>
          <w:kern w:val="2"/>
          <w:sz w:val="32"/>
          <w:szCs w:val="32"/>
        </w:rPr>
        <w:t xml:space="preserve">　本办法未尽事宜适用本行《章程》并按照《公司法》、《商业银行法》等法律、法规和有关规定执行。</w:t>
      </w:r>
    </w:p>
    <w:p w:rsidR="003861EF" w:rsidRPr="006915EB" w:rsidRDefault="00504491">
      <w:pPr>
        <w:adjustRightInd w:val="0"/>
        <w:snapToGrid w:val="0"/>
        <w:spacing w:line="560" w:lineRule="exact"/>
        <w:ind w:firstLineChars="200" w:firstLine="643"/>
        <w:rPr>
          <w:rFonts w:ascii="仿宋_GB2312" w:eastAsia="仿宋_GB2312"/>
          <w:kern w:val="2"/>
          <w:sz w:val="32"/>
          <w:szCs w:val="32"/>
        </w:rPr>
      </w:pPr>
      <w:r w:rsidRPr="006915EB">
        <w:rPr>
          <w:rFonts w:ascii="仿宋_GB2312" w:eastAsia="仿宋_GB2312" w:hint="eastAsia"/>
          <w:b/>
          <w:bCs/>
          <w:kern w:val="2"/>
          <w:sz w:val="32"/>
          <w:szCs w:val="32"/>
        </w:rPr>
        <w:t xml:space="preserve">第六十九条　</w:t>
      </w:r>
      <w:r w:rsidRPr="006915EB">
        <w:rPr>
          <w:rFonts w:ascii="仿宋_GB2312" w:eastAsia="仿宋_GB2312" w:hint="eastAsia"/>
          <w:kern w:val="2"/>
          <w:sz w:val="32"/>
          <w:szCs w:val="32"/>
        </w:rPr>
        <w:t>本办法自发文之日起执行。</w:t>
      </w:r>
    </w:p>
    <w:p w:rsidR="003861EF" w:rsidRDefault="00504491">
      <w:pPr>
        <w:pStyle w:val="ae"/>
        <w:spacing w:line="560" w:lineRule="exact"/>
        <w:ind w:firstLine="643"/>
        <w:rPr>
          <w:rFonts w:ascii="仿宋_GB2312"/>
        </w:rPr>
      </w:pPr>
      <w:r>
        <w:rPr>
          <w:rFonts w:ascii="仿宋_GB2312" w:hint="eastAsia"/>
          <w:b/>
          <w:bCs/>
          <w:kern w:val="2"/>
          <w:sz w:val="32"/>
          <w:szCs w:val="32"/>
        </w:rPr>
        <w:t xml:space="preserve">第七十条  </w:t>
      </w:r>
      <w:r>
        <w:rPr>
          <w:rFonts w:ascii="仿宋_GB2312" w:hint="eastAsia"/>
          <w:kern w:val="2"/>
          <w:sz w:val="32"/>
          <w:szCs w:val="32"/>
        </w:rPr>
        <w:t>本办法经本行股东大会审议通过后实施，修改时亦同</w:t>
      </w:r>
      <w:r w:rsidR="006915EB">
        <w:rPr>
          <w:rFonts w:ascii="仿宋_GB2312" w:hint="eastAsia"/>
          <w:kern w:val="2"/>
          <w:sz w:val="32"/>
          <w:szCs w:val="32"/>
          <w:highlight w:val="yellow"/>
        </w:rPr>
        <w:t>，原《江苏扬州农村商业银行股份有限公司股权管理办法》扬商银发[2021]350号同时废止</w:t>
      </w:r>
      <w:r>
        <w:rPr>
          <w:rFonts w:ascii="仿宋_GB2312" w:hint="eastAsia"/>
          <w:kern w:val="2"/>
          <w:sz w:val="32"/>
          <w:szCs w:val="32"/>
        </w:rPr>
        <w:t>。</w:t>
      </w:r>
    </w:p>
    <w:sectPr w:rsidR="003861EF" w:rsidSect="00C207E3">
      <w:headerReference w:type="default" r:id="rId9"/>
      <w:footerReference w:type="default" r:id="rId10"/>
      <w:pgSz w:w="11907" w:h="16838" w:code="9"/>
      <w:pgMar w:top="1440" w:right="1797" w:bottom="1440" w:left="1797" w:header="851" w:footer="992" w:gutter="0"/>
      <w:cols w:space="0"/>
      <w:docGrid w:type="lines" w:linePitch="315"/>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D83174A" w15:done="0"/>
  <w15:commentEx w15:paraId="0636719C" w15:done="0"/>
  <w15:commentEx w15:paraId="0BC70626" w15:done="0"/>
  <w15:commentEx w15:paraId="1FA06E84" w15:done="0"/>
  <w15:commentEx w15:paraId="269A23C5" w15:done="0"/>
  <w15:commentEx w15:paraId="65062F41" w15:done="0"/>
  <w15:commentEx w15:paraId="60110A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EC5" w:rsidRDefault="00F75EC5" w:rsidP="003861EF">
      <w:r>
        <w:separator/>
      </w:r>
    </w:p>
  </w:endnote>
  <w:endnote w:type="continuationSeparator" w:id="1">
    <w:p w:rsidR="00F75EC5" w:rsidRDefault="00F75EC5" w:rsidP="00386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永中仿宋">
    <w:altName w:val="微软雅黑"/>
    <w:charset w:val="86"/>
    <w:family w:val="auto"/>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永中黑体">
    <w:altName w:val="微软雅黑"/>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1EF" w:rsidRDefault="003861EF">
    <w:pPr>
      <w:pStyle w:val="a8"/>
      <w:spacing w:line="240" w:lineRule="exact"/>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EC5" w:rsidRDefault="00F75EC5" w:rsidP="003861EF">
      <w:r>
        <w:separator/>
      </w:r>
    </w:p>
  </w:footnote>
  <w:footnote w:type="continuationSeparator" w:id="1">
    <w:p w:rsidR="00F75EC5" w:rsidRDefault="00F75EC5" w:rsidP="003861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1EF" w:rsidRDefault="003861EF">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1"/>
      <w:lvlJc w:val="center"/>
      <w:pPr>
        <w:tabs>
          <w:tab w:val="left" w:pos="0"/>
        </w:tabs>
        <w:ind w:left="0" w:firstLine="288"/>
      </w:pPr>
    </w:lvl>
    <w:lvl w:ilvl="1">
      <w:start w:val="1"/>
      <w:numFmt w:val="chineseCountingThousand"/>
      <w:lvlText w:val="%2、"/>
      <w:lvlJc w:val="left"/>
      <w:pPr>
        <w:tabs>
          <w:tab w:val="left" w:pos="0"/>
        </w:tabs>
        <w:ind w:left="0" w:firstLine="607"/>
      </w:pPr>
    </w:lvl>
    <w:lvl w:ilvl="2">
      <w:start w:val="1"/>
      <w:numFmt w:val="decimal"/>
      <w:lvlText w:val="%3、"/>
      <w:lvlJc w:val="left"/>
      <w:pPr>
        <w:tabs>
          <w:tab w:val="left" w:pos="0"/>
        </w:tabs>
        <w:ind w:left="0" w:firstLine="624"/>
      </w:pPr>
    </w:lvl>
    <w:lvl w:ilvl="3">
      <w:start w:val="1"/>
      <w:numFmt w:val="decimal"/>
      <w:lvlText w:val="%4)"/>
      <w:lvlJc w:val="left"/>
      <w:pPr>
        <w:tabs>
          <w:tab w:val="left" w:pos="0"/>
        </w:tabs>
        <w:ind w:left="0" w:firstLine="607"/>
      </w:pPr>
    </w:lvl>
    <w:lvl w:ilvl="4">
      <w:start w:val="1"/>
      <w:numFmt w:val="decimal"/>
      <w:pStyle w:val="5"/>
      <w:lvlText w:val="%5)"/>
      <w:lvlJc w:val="left"/>
      <w:pPr>
        <w:tabs>
          <w:tab w:val="left" w:pos="0"/>
        </w:tabs>
        <w:ind w:left="0" w:firstLine="624"/>
      </w:pPr>
    </w:lvl>
    <w:lvl w:ilvl="5">
      <w:start w:val="1"/>
      <w:numFmt w:val="lowerLetter"/>
      <w:pStyle w:val="6"/>
      <w:lvlText w:val="%6)"/>
      <w:lvlJc w:val="left"/>
      <w:pPr>
        <w:tabs>
          <w:tab w:val="left" w:pos="1800"/>
        </w:tabs>
        <w:ind w:left="1800" w:hanging="360"/>
      </w:pPr>
    </w:lvl>
    <w:lvl w:ilvl="6">
      <w:start w:val="1"/>
      <w:numFmt w:val="lowerRoman"/>
      <w:pStyle w:val="7"/>
      <w:lvlText w:val="%7)"/>
      <w:lvlJc w:val="left"/>
      <w:pPr>
        <w:tabs>
          <w:tab w:val="left" w:pos="2160"/>
        </w:tabs>
        <w:ind w:left="2160" w:hanging="360"/>
      </w:pPr>
    </w:lvl>
    <w:lvl w:ilvl="7">
      <w:start w:val="1"/>
      <w:numFmt w:val="lowerLetter"/>
      <w:lvlText w:val="%8."/>
      <w:lvlJc w:val="left"/>
      <w:pPr>
        <w:tabs>
          <w:tab w:val="left" w:pos="2520"/>
        </w:tabs>
        <w:ind w:left="2520" w:hanging="360"/>
      </w:pPr>
    </w:lvl>
    <w:lvl w:ilvl="8">
      <w:start w:val="1"/>
      <w:numFmt w:val="lowerRoman"/>
      <w:lvlText w:val="%9."/>
      <w:lvlJc w:val="left"/>
      <w:pPr>
        <w:tabs>
          <w:tab w:val="left" w:pos="2880"/>
        </w:tabs>
        <w:ind w:left="28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315"/>
  <w:displayHorizontalDrawingGridEvery w:val="2"/>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077D"/>
    <w:rsid w:val="00003CDE"/>
    <w:rsid w:val="000051D1"/>
    <w:rsid w:val="00007A27"/>
    <w:rsid w:val="0001340B"/>
    <w:rsid w:val="00014153"/>
    <w:rsid w:val="000146B4"/>
    <w:rsid w:val="00014EE3"/>
    <w:rsid w:val="00015184"/>
    <w:rsid w:val="00015EDC"/>
    <w:rsid w:val="0001628F"/>
    <w:rsid w:val="000177A4"/>
    <w:rsid w:val="000217F3"/>
    <w:rsid w:val="00023773"/>
    <w:rsid w:val="00023C5E"/>
    <w:rsid w:val="000241E6"/>
    <w:rsid w:val="00024936"/>
    <w:rsid w:val="000255C8"/>
    <w:rsid w:val="000267E5"/>
    <w:rsid w:val="00026B47"/>
    <w:rsid w:val="00030325"/>
    <w:rsid w:val="00034554"/>
    <w:rsid w:val="00040205"/>
    <w:rsid w:val="00041209"/>
    <w:rsid w:val="000500A3"/>
    <w:rsid w:val="00050E88"/>
    <w:rsid w:val="00051076"/>
    <w:rsid w:val="00052354"/>
    <w:rsid w:val="0005245A"/>
    <w:rsid w:val="0005274F"/>
    <w:rsid w:val="00052958"/>
    <w:rsid w:val="00054886"/>
    <w:rsid w:val="0005495B"/>
    <w:rsid w:val="0005619A"/>
    <w:rsid w:val="000600B1"/>
    <w:rsid w:val="00060E22"/>
    <w:rsid w:val="000625A4"/>
    <w:rsid w:val="000643A2"/>
    <w:rsid w:val="00065A7C"/>
    <w:rsid w:val="00065C48"/>
    <w:rsid w:val="00067529"/>
    <w:rsid w:val="00067851"/>
    <w:rsid w:val="00071103"/>
    <w:rsid w:val="00071E7E"/>
    <w:rsid w:val="00072C4B"/>
    <w:rsid w:val="00072FBC"/>
    <w:rsid w:val="0007743B"/>
    <w:rsid w:val="0007788D"/>
    <w:rsid w:val="000802EB"/>
    <w:rsid w:val="0008043C"/>
    <w:rsid w:val="00081816"/>
    <w:rsid w:val="000819DC"/>
    <w:rsid w:val="000821A4"/>
    <w:rsid w:val="000821C4"/>
    <w:rsid w:val="000824C5"/>
    <w:rsid w:val="00082887"/>
    <w:rsid w:val="000868CA"/>
    <w:rsid w:val="00087661"/>
    <w:rsid w:val="00092529"/>
    <w:rsid w:val="00092587"/>
    <w:rsid w:val="00092662"/>
    <w:rsid w:val="00092ADD"/>
    <w:rsid w:val="00092E33"/>
    <w:rsid w:val="00093957"/>
    <w:rsid w:val="00095D42"/>
    <w:rsid w:val="00095E79"/>
    <w:rsid w:val="0009607D"/>
    <w:rsid w:val="000965B4"/>
    <w:rsid w:val="000979B7"/>
    <w:rsid w:val="000A1430"/>
    <w:rsid w:val="000A22DC"/>
    <w:rsid w:val="000A2954"/>
    <w:rsid w:val="000A2D09"/>
    <w:rsid w:val="000A3978"/>
    <w:rsid w:val="000A5747"/>
    <w:rsid w:val="000A5A7D"/>
    <w:rsid w:val="000A6E60"/>
    <w:rsid w:val="000A7AEB"/>
    <w:rsid w:val="000B082C"/>
    <w:rsid w:val="000B0AFF"/>
    <w:rsid w:val="000B0B6C"/>
    <w:rsid w:val="000B277E"/>
    <w:rsid w:val="000B3DB1"/>
    <w:rsid w:val="000B4F78"/>
    <w:rsid w:val="000B7179"/>
    <w:rsid w:val="000B7278"/>
    <w:rsid w:val="000C173E"/>
    <w:rsid w:val="000C1B9B"/>
    <w:rsid w:val="000C3A60"/>
    <w:rsid w:val="000C3AE9"/>
    <w:rsid w:val="000C43D0"/>
    <w:rsid w:val="000C57F7"/>
    <w:rsid w:val="000C5BD4"/>
    <w:rsid w:val="000C633A"/>
    <w:rsid w:val="000C766F"/>
    <w:rsid w:val="000D1942"/>
    <w:rsid w:val="000D2344"/>
    <w:rsid w:val="000D2716"/>
    <w:rsid w:val="000D2ACF"/>
    <w:rsid w:val="000D4996"/>
    <w:rsid w:val="000D4A2F"/>
    <w:rsid w:val="000D58DC"/>
    <w:rsid w:val="000D70EE"/>
    <w:rsid w:val="000E0150"/>
    <w:rsid w:val="000E0B2C"/>
    <w:rsid w:val="000E65CB"/>
    <w:rsid w:val="000F0A0F"/>
    <w:rsid w:val="000F16C9"/>
    <w:rsid w:val="000F189A"/>
    <w:rsid w:val="000F2930"/>
    <w:rsid w:val="000F2E86"/>
    <w:rsid w:val="000F2EF4"/>
    <w:rsid w:val="000F3474"/>
    <w:rsid w:val="000F4931"/>
    <w:rsid w:val="000F534B"/>
    <w:rsid w:val="000F548C"/>
    <w:rsid w:val="000F73AB"/>
    <w:rsid w:val="000F78D5"/>
    <w:rsid w:val="00103B77"/>
    <w:rsid w:val="00105806"/>
    <w:rsid w:val="001063D2"/>
    <w:rsid w:val="00106618"/>
    <w:rsid w:val="00106688"/>
    <w:rsid w:val="00110CF2"/>
    <w:rsid w:val="00110D74"/>
    <w:rsid w:val="00111264"/>
    <w:rsid w:val="00111A62"/>
    <w:rsid w:val="00111E94"/>
    <w:rsid w:val="00112507"/>
    <w:rsid w:val="00112F28"/>
    <w:rsid w:val="00115BDB"/>
    <w:rsid w:val="00120131"/>
    <w:rsid w:val="0012134F"/>
    <w:rsid w:val="00121F5E"/>
    <w:rsid w:val="001233B7"/>
    <w:rsid w:val="001273C0"/>
    <w:rsid w:val="001275D7"/>
    <w:rsid w:val="00127922"/>
    <w:rsid w:val="001305F4"/>
    <w:rsid w:val="00130EC4"/>
    <w:rsid w:val="001332A6"/>
    <w:rsid w:val="001337C0"/>
    <w:rsid w:val="00133A5A"/>
    <w:rsid w:val="00133BDA"/>
    <w:rsid w:val="001355E8"/>
    <w:rsid w:val="00135BB6"/>
    <w:rsid w:val="00136045"/>
    <w:rsid w:val="00136379"/>
    <w:rsid w:val="00137BB2"/>
    <w:rsid w:val="001402F5"/>
    <w:rsid w:val="0014073D"/>
    <w:rsid w:val="00141A3D"/>
    <w:rsid w:val="00142380"/>
    <w:rsid w:val="001423BC"/>
    <w:rsid w:val="00143DC6"/>
    <w:rsid w:val="00144797"/>
    <w:rsid w:val="0014528B"/>
    <w:rsid w:val="001461FD"/>
    <w:rsid w:val="00147E8F"/>
    <w:rsid w:val="00151BB6"/>
    <w:rsid w:val="0015331B"/>
    <w:rsid w:val="00153A49"/>
    <w:rsid w:val="00153D37"/>
    <w:rsid w:val="00153D97"/>
    <w:rsid w:val="00154E17"/>
    <w:rsid w:val="001568E0"/>
    <w:rsid w:val="00157424"/>
    <w:rsid w:val="00160B06"/>
    <w:rsid w:val="001620F6"/>
    <w:rsid w:val="001655C0"/>
    <w:rsid w:val="00167188"/>
    <w:rsid w:val="00167BF9"/>
    <w:rsid w:val="00170F55"/>
    <w:rsid w:val="00172183"/>
    <w:rsid w:val="00172827"/>
    <w:rsid w:val="00172998"/>
    <w:rsid w:val="00172A4F"/>
    <w:rsid w:val="00174B4F"/>
    <w:rsid w:val="00175C4A"/>
    <w:rsid w:val="00180579"/>
    <w:rsid w:val="00180631"/>
    <w:rsid w:val="0018528E"/>
    <w:rsid w:val="00187E21"/>
    <w:rsid w:val="00192526"/>
    <w:rsid w:val="00193D24"/>
    <w:rsid w:val="00193E3E"/>
    <w:rsid w:val="00194BD7"/>
    <w:rsid w:val="00195D98"/>
    <w:rsid w:val="00195F29"/>
    <w:rsid w:val="001971FD"/>
    <w:rsid w:val="001A09C5"/>
    <w:rsid w:val="001A1BAB"/>
    <w:rsid w:val="001A1DA6"/>
    <w:rsid w:val="001A215B"/>
    <w:rsid w:val="001A7212"/>
    <w:rsid w:val="001B0CC2"/>
    <w:rsid w:val="001B3356"/>
    <w:rsid w:val="001B44F5"/>
    <w:rsid w:val="001C073B"/>
    <w:rsid w:val="001C14FE"/>
    <w:rsid w:val="001C1860"/>
    <w:rsid w:val="001C1A59"/>
    <w:rsid w:val="001C1AF2"/>
    <w:rsid w:val="001C1CC9"/>
    <w:rsid w:val="001C1DD6"/>
    <w:rsid w:val="001C1F16"/>
    <w:rsid w:val="001C22B7"/>
    <w:rsid w:val="001C47C7"/>
    <w:rsid w:val="001C65E9"/>
    <w:rsid w:val="001C7F43"/>
    <w:rsid w:val="001D01F1"/>
    <w:rsid w:val="001D048F"/>
    <w:rsid w:val="001D0A57"/>
    <w:rsid w:val="001D35B4"/>
    <w:rsid w:val="001D363A"/>
    <w:rsid w:val="001D3B92"/>
    <w:rsid w:val="001D435D"/>
    <w:rsid w:val="001D4606"/>
    <w:rsid w:val="001D58CE"/>
    <w:rsid w:val="001D63BA"/>
    <w:rsid w:val="001D78DE"/>
    <w:rsid w:val="001E072B"/>
    <w:rsid w:val="001E0C29"/>
    <w:rsid w:val="001E1932"/>
    <w:rsid w:val="001E2316"/>
    <w:rsid w:val="001E40FC"/>
    <w:rsid w:val="001E6A13"/>
    <w:rsid w:val="001F0710"/>
    <w:rsid w:val="001F18D5"/>
    <w:rsid w:val="001F2AC1"/>
    <w:rsid w:val="001F2F4C"/>
    <w:rsid w:val="001F48F2"/>
    <w:rsid w:val="001F4C3B"/>
    <w:rsid w:val="001F51A3"/>
    <w:rsid w:val="001F6039"/>
    <w:rsid w:val="001F6FDB"/>
    <w:rsid w:val="001F7365"/>
    <w:rsid w:val="0020041A"/>
    <w:rsid w:val="00200CF8"/>
    <w:rsid w:val="002019E0"/>
    <w:rsid w:val="00201DD8"/>
    <w:rsid w:val="00203CB3"/>
    <w:rsid w:val="00204A8D"/>
    <w:rsid w:val="00205229"/>
    <w:rsid w:val="0020539E"/>
    <w:rsid w:val="00206305"/>
    <w:rsid w:val="00211D0E"/>
    <w:rsid w:val="00212D5D"/>
    <w:rsid w:val="00213BAC"/>
    <w:rsid w:val="00214686"/>
    <w:rsid w:val="00215409"/>
    <w:rsid w:val="002156EB"/>
    <w:rsid w:val="0022023D"/>
    <w:rsid w:val="00224562"/>
    <w:rsid w:val="0022690D"/>
    <w:rsid w:val="0022736C"/>
    <w:rsid w:val="00230EE0"/>
    <w:rsid w:val="00231953"/>
    <w:rsid w:val="0023256A"/>
    <w:rsid w:val="0023539C"/>
    <w:rsid w:val="00240D3F"/>
    <w:rsid w:val="0024132E"/>
    <w:rsid w:val="00241571"/>
    <w:rsid w:val="002434CE"/>
    <w:rsid w:val="00243A66"/>
    <w:rsid w:val="00243B80"/>
    <w:rsid w:val="00245D0C"/>
    <w:rsid w:val="00246591"/>
    <w:rsid w:val="00250A48"/>
    <w:rsid w:val="00250CFB"/>
    <w:rsid w:val="00250F4D"/>
    <w:rsid w:val="002512E7"/>
    <w:rsid w:val="00251DE6"/>
    <w:rsid w:val="00252E90"/>
    <w:rsid w:val="00253824"/>
    <w:rsid w:val="00254BD6"/>
    <w:rsid w:val="002558D7"/>
    <w:rsid w:val="00255D7B"/>
    <w:rsid w:val="0025722D"/>
    <w:rsid w:val="00260263"/>
    <w:rsid w:val="002610B2"/>
    <w:rsid w:val="002630D9"/>
    <w:rsid w:val="002638FE"/>
    <w:rsid w:val="0026461F"/>
    <w:rsid w:val="00265875"/>
    <w:rsid w:val="00265DB3"/>
    <w:rsid w:val="0026724A"/>
    <w:rsid w:val="00267E09"/>
    <w:rsid w:val="00270C38"/>
    <w:rsid w:val="002749DB"/>
    <w:rsid w:val="00277C1C"/>
    <w:rsid w:val="00280011"/>
    <w:rsid w:val="0028038B"/>
    <w:rsid w:val="002803C0"/>
    <w:rsid w:val="00281D19"/>
    <w:rsid w:val="00282004"/>
    <w:rsid w:val="002857B0"/>
    <w:rsid w:val="00286F03"/>
    <w:rsid w:val="0028711C"/>
    <w:rsid w:val="002923AF"/>
    <w:rsid w:val="0029475D"/>
    <w:rsid w:val="00294802"/>
    <w:rsid w:val="002A4F13"/>
    <w:rsid w:val="002A52D9"/>
    <w:rsid w:val="002A5AF0"/>
    <w:rsid w:val="002A5E80"/>
    <w:rsid w:val="002A6C7B"/>
    <w:rsid w:val="002A73AF"/>
    <w:rsid w:val="002B1F41"/>
    <w:rsid w:val="002B22E6"/>
    <w:rsid w:val="002B2F61"/>
    <w:rsid w:val="002B6E21"/>
    <w:rsid w:val="002B75F2"/>
    <w:rsid w:val="002B785D"/>
    <w:rsid w:val="002C228B"/>
    <w:rsid w:val="002C32C2"/>
    <w:rsid w:val="002C42E6"/>
    <w:rsid w:val="002C4520"/>
    <w:rsid w:val="002C47AC"/>
    <w:rsid w:val="002C5691"/>
    <w:rsid w:val="002D01B1"/>
    <w:rsid w:val="002D1243"/>
    <w:rsid w:val="002D175B"/>
    <w:rsid w:val="002D1F01"/>
    <w:rsid w:val="002D20FA"/>
    <w:rsid w:val="002D2509"/>
    <w:rsid w:val="002D2FDA"/>
    <w:rsid w:val="002D36C8"/>
    <w:rsid w:val="002D4F20"/>
    <w:rsid w:val="002D52FA"/>
    <w:rsid w:val="002D5F7A"/>
    <w:rsid w:val="002D69B2"/>
    <w:rsid w:val="002E03E4"/>
    <w:rsid w:val="002E0965"/>
    <w:rsid w:val="002E1B62"/>
    <w:rsid w:val="002E4551"/>
    <w:rsid w:val="002E476F"/>
    <w:rsid w:val="002E5498"/>
    <w:rsid w:val="002E5675"/>
    <w:rsid w:val="002E6476"/>
    <w:rsid w:val="002F0278"/>
    <w:rsid w:val="002F2CDB"/>
    <w:rsid w:val="002F5245"/>
    <w:rsid w:val="002F5B8C"/>
    <w:rsid w:val="002F5CEC"/>
    <w:rsid w:val="002F6A2F"/>
    <w:rsid w:val="002F7F74"/>
    <w:rsid w:val="00300A64"/>
    <w:rsid w:val="00300B7E"/>
    <w:rsid w:val="00300F77"/>
    <w:rsid w:val="00301CEF"/>
    <w:rsid w:val="00303F96"/>
    <w:rsid w:val="00304C4B"/>
    <w:rsid w:val="003051B2"/>
    <w:rsid w:val="003062E3"/>
    <w:rsid w:val="0030649E"/>
    <w:rsid w:val="00306781"/>
    <w:rsid w:val="003111B4"/>
    <w:rsid w:val="003139E4"/>
    <w:rsid w:val="00313CD9"/>
    <w:rsid w:val="00313F32"/>
    <w:rsid w:val="003142F0"/>
    <w:rsid w:val="00315896"/>
    <w:rsid w:val="00316FE3"/>
    <w:rsid w:val="00317A86"/>
    <w:rsid w:val="00317D62"/>
    <w:rsid w:val="0032010E"/>
    <w:rsid w:val="00320843"/>
    <w:rsid w:val="00320855"/>
    <w:rsid w:val="0032350F"/>
    <w:rsid w:val="00324C29"/>
    <w:rsid w:val="00324DB2"/>
    <w:rsid w:val="00325994"/>
    <w:rsid w:val="003261B5"/>
    <w:rsid w:val="0033019A"/>
    <w:rsid w:val="00330791"/>
    <w:rsid w:val="00331805"/>
    <w:rsid w:val="003326EE"/>
    <w:rsid w:val="003327D2"/>
    <w:rsid w:val="00332F20"/>
    <w:rsid w:val="0033479A"/>
    <w:rsid w:val="003357D1"/>
    <w:rsid w:val="00335D68"/>
    <w:rsid w:val="0033767A"/>
    <w:rsid w:val="00340244"/>
    <w:rsid w:val="00340BDC"/>
    <w:rsid w:val="003424D0"/>
    <w:rsid w:val="003443FA"/>
    <w:rsid w:val="003447A6"/>
    <w:rsid w:val="00345996"/>
    <w:rsid w:val="00346E1E"/>
    <w:rsid w:val="00347760"/>
    <w:rsid w:val="00350235"/>
    <w:rsid w:val="00352C67"/>
    <w:rsid w:val="00352EA2"/>
    <w:rsid w:val="0035428B"/>
    <w:rsid w:val="00355CC7"/>
    <w:rsid w:val="003568E0"/>
    <w:rsid w:val="00356F98"/>
    <w:rsid w:val="00357903"/>
    <w:rsid w:val="00360D08"/>
    <w:rsid w:val="0036123F"/>
    <w:rsid w:val="00361609"/>
    <w:rsid w:val="00362B00"/>
    <w:rsid w:val="0036443F"/>
    <w:rsid w:val="003662DC"/>
    <w:rsid w:val="0037083C"/>
    <w:rsid w:val="00371DB3"/>
    <w:rsid w:val="00371DC5"/>
    <w:rsid w:val="00372144"/>
    <w:rsid w:val="003734E4"/>
    <w:rsid w:val="0038010A"/>
    <w:rsid w:val="003802F8"/>
    <w:rsid w:val="00380725"/>
    <w:rsid w:val="00382644"/>
    <w:rsid w:val="003829E7"/>
    <w:rsid w:val="00383F65"/>
    <w:rsid w:val="00384EE9"/>
    <w:rsid w:val="003861EF"/>
    <w:rsid w:val="00390450"/>
    <w:rsid w:val="00393C3D"/>
    <w:rsid w:val="0039537F"/>
    <w:rsid w:val="003953C3"/>
    <w:rsid w:val="0039562E"/>
    <w:rsid w:val="00395656"/>
    <w:rsid w:val="00395CCC"/>
    <w:rsid w:val="00396198"/>
    <w:rsid w:val="00396CD1"/>
    <w:rsid w:val="003A326C"/>
    <w:rsid w:val="003A3335"/>
    <w:rsid w:val="003A3DE2"/>
    <w:rsid w:val="003A4285"/>
    <w:rsid w:val="003A58A1"/>
    <w:rsid w:val="003A7EFF"/>
    <w:rsid w:val="003B06CA"/>
    <w:rsid w:val="003B12CF"/>
    <w:rsid w:val="003B359B"/>
    <w:rsid w:val="003B4C84"/>
    <w:rsid w:val="003B4EAC"/>
    <w:rsid w:val="003B61B7"/>
    <w:rsid w:val="003B76EE"/>
    <w:rsid w:val="003C1ECA"/>
    <w:rsid w:val="003C2A20"/>
    <w:rsid w:val="003C3131"/>
    <w:rsid w:val="003C4854"/>
    <w:rsid w:val="003C57DE"/>
    <w:rsid w:val="003D0445"/>
    <w:rsid w:val="003D17A4"/>
    <w:rsid w:val="003D1C03"/>
    <w:rsid w:val="003D35B5"/>
    <w:rsid w:val="003D3D3E"/>
    <w:rsid w:val="003D50F8"/>
    <w:rsid w:val="003D77C9"/>
    <w:rsid w:val="003D7D05"/>
    <w:rsid w:val="003E201F"/>
    <w:rsid w:val="003E21A3"/>
    <w:rsid w:val="003E21BD"/>
    <w:rsid w:val="003E2804"/>
    <w:rsid w:val="003E2CEF"/>
    <w:rsid w:val="003E39EB"/>
    <w:rsid w:val="003E47E8"/>
    <w:rsid w:val="003E4A4A"/>
    <w:rsid w:val="003E4BCD"/>
    <w:rsid w:val="003E6724"/>
    <w:rsid w:val="003E6AC7"/>
    <w:rsid w:val="003E7760"/>
    <w:rsid w:val="003F188F"/>
    <w:rsid w:val="003F31AA"/>
    <w:rsid w:val="003F31D8"/>
    <w:rsid w:val="003F45D8"/>
    <w:rsid w:val="003F4E5F"/>
    <w:rsid w:val="004015FB"/>
    <w:rsid w:val="00401AA7"/>
    <w:rsid w:val="00403805"/>
    <w:rsid w:val="00403C6E"/>
    <w:rsid w:val="004045BC"/>
    <w:rsid w:val="0040705C"/>
    <w:rsid w:val="004077BA"/>
    <w:rsid w:val="00410817"/>
    <w:rsid w:val="00412F49"/>
    <w:rsid w:val="0041640B"/>
    <w:rsid w:val="00416A07"/>
    <w:rsid w:val="00420779"/>
    <w:rsid w:val="00421AEF"/>
    <w:rsid w:val="00421F06"/>
    <w:rsid w:val="0042250A"/>
    <w:rsid w:val="00422DE1"/>
    <w:rsid w:val="004244E4"/>
    <w:rsid w:val="004245DD"/>
    <w:rsid w:val="004276F4"/>
    <w:rsid w:val="00427FBB"/>
    <w:rsid w:val="004305BE"/>
    <w:rsid w:val="004347F8"/>
    <w:rsid w:val="0043510F"/>
    <w:rsid w:val="004353B6"/>
    <w:rsid w:val="00435BB8"/>
    <w:rsid w:val="004372EB"/>
    <w:rsid w:val="004373F4"/>
    <w:rsid w:val="004376AD"/>
    <w:rsid w:val="004379C1"/>
    <w:rsid w:val="00437FC2"/>
    <w:rsid w:val="004410B5"/>
    <w:rsid w:val="0044182E"/>
    <w:rsid w:val="00443005"/>
    <w:rsid w:val="004439D4"/>
    <w:rsid w:val="00443E0B"/>
    <w:rsid w:val="00445706"/>
    <w:rsid w:val="00445F16"/>
    <w:rsid w:val="0044680A"/>
    <w:rsid w:val="004507ED"/>
    <w:rsid w:val="00451FBF"/>
    <w:rsid w:val="00453583"/>
    <w:rsid w:val="00454F31"/>
    <w:rsid w:val="004551D9"/>
    <w:rsid w:val="00456F3C"/>
    <w:rsid w:val="00460058"/>
    <w:rsid w:val="004628CC"/>
    <w:rsid w:val="00462CF4"/>
    <w:rsid w:val="00462E4F"/>
    <w:rsid w:val="0046316D"/>
    <w:rsid w:val="00464671"/>
    <w:rsid w:val="00465694"/>
    <w:rsid w:val="00466068"/>
    <w:rsid w:val="0046742F"/>
    <w:rsid w:val="004705B9"/>
    <w:rsid w:val="004715B3"/>
    <w:rsid w:val="00472592"/>
    <w:rsid w:val="0047385D"/>
    <w:rsid w:val="00476329"/>
    <w:rsid w:val="00477808"/>
    <w:rsid w:val="00481376"/>
    <w:rsid w:val="00483002"/>
    <w:rsid w:val="00483083"/>
    <w:rsid w:val="004834C0"/>
    <w:rsid w:val="00483A58"/>
    <w:rsid w:val="00484516"/>
    <w:rsid w:val="00485352"/>
    <w:rsid w:val="00486E21"/>
    <w:rsid w:val="00486E50"/>
    <w:rsid w:val="004876D8"/>
    <w:rsid w:val="0049087C"/>
    <w:rsid w:val="004918BA"/>
    <w:rsid w:val="0049418B"/>
    <w:rsid w:val="00495B6C"/>
    <w:rsid w:val="00497665"/>
    <w:rsid w:val="00497AC9"/>
    <w:rsid w:val="00497BB2"/>
    <w:rsid w:val="00497D44"/>
    <w:rsid w:val="004A292B"/>
    <w:rsid w:val="004A299E"/>
    <w:rsid w:val="004A3961"/>
    <w:rsid w:val="004A5C77"/>
    <w:rsid w:val="004A63FC"/>
    <w:rsid w:val="004A72E9"/>
    <w:rsid w:val="004A7C8D"/>
    <w:rsid w:val="004B0798"/>
    <w:rsid w:val="004B0854"/>
    <w:rsid w:val="004B180A"/>
    <w:rsid w:val="004B4054"/>
    <w:rsid w:val="004B46C4"/>
    <w:rsid w:val="004B53AA"/>
    <w:rsid w:val="004B5CAF"/>
    <w:rsid w:val="004B5EC8"/>
    <w:rsid w:val="004B6162"/>
    <w:rsid w:val="004C1A99"/>
    <w:rsid w:val="004C1AC4"/>
    <w:rsid w:val="004C70BA"/>
    <w:rsid w:val="004D12F3"/>
    <w:rsid w:val="004D41C3"/>
    <w:rsid w:val="004D4B8A"/>
    <w:rsid w:val="004D5059"/>
    <w:rsid w:val="004D5422"/>
    <w:rsid w:val="004D67FF"/>
    <w:rsid w:val="004D743B"/>
    <w:rsid w:val="004E05BE"/>
    <w:rsid w:val="004E07D1"/>
    <w:rsid w:val="004E3987"/>
    <w:rsid w:val="004E4B79"/>
    <w:rsid w:val="004E7EE2"/>
    <w:rsid w:val="004F0696"/>
    <w:rsid w:val="004F309D"/>
    <w:rsid w:val="004F59B9"/>
    <w:rsid w:val="004F6FB1"/>
    <w:rsid w:val="004F75C9"/>
    <w:rsid w:val="004F7C43"/>
    <w:rsid w:val="004F7E12"/>
    <w:rsid w:val="005005F7"/>
    <w:rsid w:val="005024F1"/>
    <w:rsid w:val="00502D56"/>
    <w:rsid w:val="00503065"/>
    <w:rsid w:val="005038BC"/>
    <w:rsid w:val="00504491"/>
    <w:rsid w:val="00505B91"/>
    <w:rsid w:val="00505C18"/>
    <w:rsid w:val="00513490"/>
    <w:rsid w:val="005134BD"/>
    <w:rsid w:val="00513617"/>
    <w:rsid w:val="005163CA"/>
    <w:rsid w:val="005168C8"/>
    <w:rsid w:val="00520055"/>
    <w:rsid w:val="00520182"/>
    <w:rsid w:val="00520B88"/>
    <w:rsid w:val="00521E20"/>
    <w:rsid w:val="005228E8"/>
    <w:rsid w:val="00524E39"/>
    <w:rsid w:val="00526368"/>
    <w:rsid w:val="00527C4D"/>
    <w:rsid w:val="00527DF3"/>
    <w:rsid w:val="00531659"/>
    <w:rsid w:val="005321D8"/>
    <w:rsid w:val="00532679"/>
    <w:rsid w:val="0053289A"/>
    <w:rsid w:val="005346C0"/>
    <w:rsid w:val="0053487E"/>
    <w:rsid w:val="005358BD"/>
    <w:rsid w:val="005370DD"/>
    <w:rsid w:val="00540160"/>
    <w:rsid w:val="00542DFB"/>
    <w:rsid w:val="00544B47"/>
    <w:rsid w:val="0054515C"/>
    <w:rsid w:val="00546138"/>
    <w:rsid w:val="00546FD5"/>
    <w:rsid w:val="00552527"/>
    <w:rsid w:val="005553E7"/>
    <w:rsid w:val="005559AF"/>
    <w:rsid w:val="00556309"/>
    <w:rsid w:val="00556B05"/>
    <w:rsid w:val="00556CAC"/>
    <w:rsid w:val="00557275"/>
    <w:rsid w:val="0056184A"/>
    <w:rsid w:val="0056198B"/>
    <w:rsid w:val="00561CA9"/>
    <w:rsid w:val="00562C8B"/>
    <w:rsid w:val="005645D2"/>
    <w:rsid w:val="00564948"/>
    <w:rsid w:val="00564D00"/>
    <w:rsid w:val="0057192E"/>
    <w:rsid w:val="00571B35"/>
    <w:rsid w:val="00572505"/>
    <w:rsid w:val="00574C7F"/>
    <w:rsid w:val="0057510A"/>
    <w:rsid w:val="00575258"/>
    <w:rsid w:val="00575481"/>
    <w:rsid w:val="0058255B"/>
    <w:rsid w:val="00583326"/>
    <w:rsid w:val="00584769"/>
    <w:rsid w:val="00584FF8"/>
    <w:rsid w:val="00586678"/>
    <w:rsid w:val="005877DB"/>
    <w:rsid w:val="0059108A"/>
    <w:rsid w:val="00592C0B"/>
    <w:rsid w:val="005950E1"/>
    <w:rsid w:val="00596441"/>
    <w:rsid w:val="00596B4C"/>
    <w:rsid w:val="00597919"/>
    <w:rsid w:val="005A00C2"/>
    <w:rsid w:val="005A27A1"/>
    <w:rsid w:val="005A2D85"/>
    <w:rsid w:val="005A338F"/>
    <w:rsid w:val="005A351D"/>
    <w:rsid w:val="005A56F3"/>
    <w:rsid w:val="005A6233"/>
    <w:rsid w:val="005A6245"/>
    <w:rsid w:val="005B1036"/>
    <w:rsid w:val="005B3CB7"/>
    <w:rsid w:val="005B4EB2"/>
    <w:rsid w:val="005C0877"/>
    <w:rsid w:val="005C19F3"/>
    <w:rsid w:val="005C1CDB"/>
    <w:rsid w:val="005C22FB"/>
    <w:rsid w:val="005C2569"/>
    <w:rsid w:val="005C2624"/>
    <w:rsid w:val="005C43CB"/>
    <w:rsid w:val="005C4B42"/>
    <w:rsid w:val="005C50AC"/>
    <w:rsid w:val="005C7752"/>
    <w:rsid w:val="005D0158"/>
    <w:rsid w:val="005D09AC"/>
    <w:rsid w:val="005D1D77"/>
    <w:rsid w:val="005D1FDD"/>
    <w:rsid w:val="005D2A46"/>
    <w:rsid w:val="005D38ED"/>
    <w:rsid w:val="005D4B8A"/>
    <w:rsid w:val="005D6928"/>
    <w:rsid w:val="005E12A5"/>
    <w:rsid w:val="005E1F58"/>
    <w:rsid w:val="005E204F"/>
    <w:rsid w:val="005E5AB5"/>
    <w:rsid w:val="005E781B"/>
    <w:rsid w:val="005E7A74"/>
    <w:rsid w:val="005F0EED"/>
    <w:rsid w:val="005F115F"/>
    <w:rsid w:val="005F15DC"/>
    <w:rsid w:val="005F2F73"/>
    <w:rsid w:val="005F367E"/>
    <w:rsid w:val="005F3A58"/>
    <w:rsid w:val="005F3F40"/>
    <w:rsid w:val="005F5660"/>
    <w:rsid w:val="005F5A9D"/>
    <w:rsid w:val="00600BB7"/>
    <w:rsid w:val="00601297"/>
    <w:rsid w:val="00601D38"/>
    <w:rsid w:val="00603198"/>
    <w:rsid w:val="0060391F"/>
    <w:rsid w:val="0060426D"/>
    <w:rsid w:val="006062E8"/>
    <w:rsid w:val="0061155B"/>
    <w:rsid w:val="00611803"/>
    <w:rsid w:val="006123EB"/>
    <w:rsid w:val="00615BF6"/>
    <w:rsid w:val="006222DD"/>
    <w:rsid w:val="00624CD8"/>
    <w:rsid w:val="00627799"/>
    <w:rsid w:val="00627E05"/>
    <w:rsid w:val="00630A6F"/>
    <w:rsid w:val="006315F8"/>
    <w:rsid w:val="00631D70"/>
    <w:rsid w:val="00632617"/>
    <w:rsid w:val="00634097"/>
    <w:rsid w:val="00635338"/>
    <w:rsid w:val="006362C4"/>
    <w:rsid w:val="00642AB8"/>
    <w:rsid w:val="00642B39"/>
    <w:rsid w:val="0064385B"/>
    <w:rsid w:val="00643AF7"/>
    <w:rsid w:val="00645FBD"/>
    <w:rsid w:val="0065037E"/>
    <w:rsid w:val="00651CC9"/>
    <w:rsid w:val="00653AB8"/>
    <w:rsid w:val="00654BAF"/>
    <w:rsid w:val="00654DD1"/>
    <w:rsid w:val="006553A8"/>
    <w:rsid w:val="0065643C"/>
    <w:rsid w:val="00656442"/>
    <w:rsid w:val="00657EA1"/>
    <w:rsid w:val="00657F1A"/>
    <w:rsid w:val="00660ADE"/>
    <w:rsid w:val="006623D8"/>
    <w:rsid w:val="0066389D"/>
    <w:rsid w:val="00663FD3"/>
    <w:rsid w:val="00664993"/>
    <w:rsid w:val="00665959"/>
    <w:rsid w:val="00665CC7"/>
    <w:rsid w:val="00666F72"/>
    <w:rsid w:val="00673042"/>
    <w:rsid w:val="00675EA6"/>
    <w:rsid w:val="0067616B"/>
    <w:rsid w:val="0067626E"/>
    <w:rsid w:val="00676DB4"/>
    <w:rsid w:val="006777CF"/>
    <w:rsid w:val="00683BC4"/>
    <w:rsid w:val="00685EBB"/>
    <w:rsid w:val="00690688"/>
    <w:rsid w:val="006915EB"/>
    <w:rsid w:val="006957BA"/>
    <w:rsid w:val="00695B2F"/>
    <w:rsid w:val="00696335"/>
    <w:rsid w:val="0069683F"/>
    <w:rsid w:val="006976F5"/>
    <w:rsid w:val="006A0844"/>
    <w:rsid w:val="006A3021"/>
    <w:rsid w:val="006A56B0"/>
    <w:rsid w:val="006A5987"/>
    <w:rsid w:val="006B0D73"/>
    <w:rsid w:val="006B11E0"/>
    <w:rsid w:val="006B28DE"/>
    <w:rsid w:val="006B325E"/>
    <w:rsid w:val="006B6FCE"/>
    <w:rsid w:val="006B7157"/>
    <w:rsid w:val="006C123E"/>
    <w:rsid w:val="006C1948"/>
    <w:rsid w:val="006C1BCE"/>
    <w:rsid w:val="006C2E00"/>
    <w:rsid w:val="006C4B8A"/>
    <w:rsid w:val="006D06F4"/>
    <w:rsid w:val="006D308A"/>
    <w:rsid w:val="006D3272"/>
    <w:rsid w:val="006D3CE2"/>
    <w:rsid w:val="006D509C"/>
    <w:rsid w:val="006D60B0"/>
    <w:rsid w:val="006D61F5"/>
    <w:rsid w:val="006D7917"/>
    <w:rsid w:val="006E2D45"/>
    <w:rsid w:val="006E2E06"/>
    <w:rsid w:val="006E3653"/>
    <w:rsid w:val="006E5EEE"/>
    <w:rsid w:val="006E7C9F"/>
    <w:rsid w:val="006F078F"/>
    <w:rsid w:val="006F1BBA"/>
    <w:rsid w:val="006F2485"/>
    <w:rsid w:val="006F2A67"/>
    <w:rsid w:val="006F2AFF"/>
    <w:rsid w:val="006F58D6"/>
    <w:rsid w:val="006F6FD7"/>
    <w:rsid w:val="00700104"/>
    <w:rsid w:val="00700708"/>
    <w:rsid w:val="007014A9"/>
    <w:rsid w:val="00706A06"/>
    <w:rsid w:val="00713031"/>
    <w:rsid w:val="00715198"/>
    <w:rsid w:val="0071563B"/>
    <w:rsid w:val="00715DBD"/>
    <w:rsid w:val="007164D9"/>
    <w:rsid w:val="0072026A"/>
    <w:rsid w:val="007204F8"/>
    <w:rsid w:val="0072159C"/>
    <w:rsid w:val="00721844"/>
    <w:rsid w:val="007221A6"/>
    <w:rsid w:val="007225BC"/>
    <w:rsid w:val="00722DC4"/>
    <w:rsid w:val="00723C7F"/>
    <w:rsid w:val="00724E0D"/>
    <w:rsid w:val="00725D65"/>
    <w:rsid w:val="007267BF"/>
    <w:rsid w:val="00727298"/>
    <w:rsid w:val="0072770B"/>
    <w:rsid w:val="007321E4"/>
    <w:rsid w:val="00732231"/>
    <w:rsid w:val="00732679"/>
    <w:rsid w:val="007331E6"/>
    <w:rsid w:val="007338E9"/>
    <w:rsid w:val="00733F12"/>
    <w:rsid w:val="00734BBD"/>
    <w:rsid w:val="007366DC"/>
    <w:rsid w:val="00736921"/>
    <w:rsid w:val="00737C04"/>
    <w:rsid w:val="00740724"/>
    <w:rsid w:val="00741C2D"/>
    <w:rsid w:val="00741FBF"/>
    <w:rsid w:val="00742058"/>
    <w:rsid w:val="007424A9"/>
    <w:rsid w:val="00744223"/>
    <w:rsid w:val="007453D7"/>
    <w:rsid w:val="007457E5"/>
    <w:rsid w:val="0074629D"/>
    <w:rsid w:val="00746F8E"/>
    <w:rsid w:val="007471E0"/>
    <w:rsid w:val="00747991"/>
    <w:rsid w:val="00751020"/>
    <w:rsid w:val="007519D3"/>
    <w:rsid w:val="00751D8A"/>
    <w:rsid w:val="00751E06"/>
    <w:rsid w:val="00752329"/>
    <w:rsid w:val="00754F42"/>
    <w:rsid w:val="00755243"/>
    <w:rsid w:val="007566D7"/>
    <w:rsid w:val="00757AA8"/>
    <w:rsid w:val="00757F55"/>
    <w:rsid w:val="007606DA"/>
    <w:rsid w:val="0076561B"/>
    <w:rsid w:val="007672C9"/>
    <w:rsid w:val="0077627B"/>
    <w:rsid w:val="00776F35"/>
    <w:rsid w:val="00777381"/>
    <w:rsid w:val="00782675"/>
    <w:rsid w:val="0078391B"/>
    <w:rsid w:val="00785382"/>
    <w:rsid w:val="00785B13"/>
    <w:rsid w:val="00785FED"/>
    <w:rsid w:val="007947B1"/>
    <w:rsid w:val="00795D3F"/>
    <w:rsid w:val="00796B2B"/>
    <w:rsid w:val="0079796D"/>
    <w:rsid w:val="007A0E42"/>
    <w:rsid w:val="007A25F4"/>
    <w:rsid w:val="007A30D2"/>
    <w:rsid w:val="007A331D"/>
    <w:rsid w:val="007A3558"/>
    <w:rsid w:val="007A3580"/>
    <w:rsid w:val="007A35A8"/>
    <w:rsid w:val="007A3D7D"/>
    <w:rsid w:val="007A44EF"/>
    <w:rsid w:val="007A47F8"/>
    <w:rsid w:val="007A637E"/>
    <w:rsid w:val="007A6A31"/>
    <w:rsid w:val="007A6D3A"/>
    <w:rsid w:val="007A6D75"/>
    <w:rsid w:val="007B03FC"/>
    <w:rsid w:val="007B0B93"/>
    <w:rsid w:val="007B1524"/>
    <w:rsid w:val="007B1E2F"/>
    <w:rsid w:val="007B35C2"/>
    <w:rsid w:val="007B39D6"/>
    <w:rsid w:val="007B415E"/>
    <w:rsid w:val="007B4B6C"/>
    <w:rsid w:val="007B4DA6"/>
    <w:rsid w:val="007B7548"/>
    <w:rsid w:val="007B7A91"/>
    <w:rsid w:val="007C035B"/>
    <w:rsid w:val="007C0937"/>
    <w:rsid w:val="007C1D3B"/>
    <w:rsid w:val="007C330E"/>
    <w:rsid w:val="007C5E7E"/>
    <w:rsid w:val="007C6978"/>
    <w:rsid w:val="007D029E"/>
    <w:rsid w:val="007D06BB"/>
    <w:rsid w:val="007D17A2"/>
    <w:rsid w:val="007D41F8"/>
    <w:rsid w:val="007D4822"/>
    <w:rsid w:val="007D4E06"/>
    <w:rsid w:val="007D694D"/>
    <w:rsid w:val="007D7127"/>
    <w:rsid w:val="007E0A0C"/>
    <w:rsid w:val="007E0B73"/>
    <w:rsid w:val="007E1188"/>
    <w:rsid w:val="007E1C56"/>
    <w:rsid w:val="007E5431"/>
    <w:rsid w:val="007F0903"/>
    <w:rsid w:val="007F1937"/>
    <w:rsid w:val="007F46F1"/>
    <w:rsid w:val="007F4B3B"/>
    <w:rsid w:val="007F545B"/>
    <w:rsid w:val="007F7A29"/>
    <w:rsid w:val="00800152"/>
    <w:rsid w:val="008022E5"/>
    <w:rsid w:val="00803178"/>
    <w:rsid w:val="00804E5C"/>
    <w:rsid w:val="0080603B"/>
    <w:rsid w:val="008068D8"/>
    <w:rsid w:val="0080754B"/>
    <w:rsid w:val="00807B06"/>
    <w:rsid w:val="008138C5"/>
    <w:rsid w:val="00813C19"/>
    <w:rsid w:val="008145CF"/>
    <w:rsid w:val="00814C41"/>
    <w:rsid w:val="00814FE3"/>
    <w:rsid w:val="0081576F"/>
    <w:rsid w:val="008164C6"/>
    <w:rsid w:val="00817D94"/>
    <w:rsid w:val="008207FD"/>
    <w:rsid w:val="00820E4F"/>
    <w:rsid w:val="00821D48"/>
    <w:rsid w:val="00822C5E"/>
    <w:rsid w:val="00823E25"/>
    <w:rsid w:val="008249DC"/>
    <w:rsid w:val="008252D2"/>
    <w:rsid w:val="008258E1"/>
    <w:rsid w:val="00826953"/>
    <w:rsid w:val="00830B66"/>
    <w:rsid w:val="008347A9"/>
    <w:rsid w:val="00834A11"/>
    <w:rsid w:val="00834C4D"/>
    <w:rsid w:val="00835B88"/>
    <w:rsid w:val="008366A5"/>
    <w:rsid w:val="00842EE7"/>
    <w:rsid w:val="00843EE9"/>
    <w:rsid w:val="00846EAE"/>
    <w:rsid w:val="00850CAB"/>
    <w:rsid w:val="00850F5C"/>
    <w:rsid w:val="00851329"/>
    <w:rsid w:val="008541C0"/>
    <w:rsid w:val="0085723E"/>
    <w:rsid w:val="008617DD"/>
    <w:rsid w:val="00861C87"/>
    <w:rsid w:val="00863434"/>
    <w:rsid w:val="00871424"/>
    <w:rsid w:val="00874DF3"/>
    <w:rsid w:val="00875328"/>
    <w:rsid w:val="00876FDF"/>
    <w:rsid w:val="008771B6"/>
    <w:rsid w:val="00881504"/>
    <w:rsid w:val="00883872"/>
    <w:rsid w:val="00884C63"/>
    <w:rsid w:val="008857AB"/>
    <w:rsid w:val="0088592B"/>
    <w:rsid w:val="008865C1"/>
    <w:rsid w:val="00890AC6"/>
    <w:rsid w:val="008936F9"/>
    <w:rsid w:val="008945D3"/>
    <w:rsid w:val="00895D0A"/>
    <w:rsid w:val="008A0351"/>
    <w:rsid w:val="008A35FD"/>
    <w:rsid w:val="008A3E0A"/>
    <w:rsid w:val="008A50F9"/>
    <w:rsid w:val="008A56D8"/>
    <w:rsid w:val="008B0680"/>
    <w:rsid w:val="008B10DB"/>
    <w:rsid w:val="008B182D"/>
    <w:rsid w:val="008B2996"/>
    <w:rsid w:val="008B31C6"/>
    <w:rsid w:val="008B4FDB"/>
    <w:rsid w:val="008B6A44"/>
    <w:rsid w:val="008B74E7"/>
    <w:rsid w:val="008C1851"/>
    <w:rsid w:val="008C20D1"/>
    <w:rsid w:val="008C25AD"/>
    <w:rsid w:val="008C27E2"/>
    <w:rsid w:val="008C41A1"/>
    <w:rsid w:val="008C43A4"/>
    <w:rsid w:val="008C5262"/>
    <w:rsid w:val="008C540C"/>
    <w:rsid w:val="008C5B41"/>
    <w:rsid w:val="008C7978"/>
    <w:rsid w:val="008D0704"/>
    <w:rsid w:val="008D2E33"/>
    <w:rsid w:val="008D6CE4"/>
    <w:rsid w:val="008D6E1A"/>
    <w:rsid w:val="008D75C4"/>
    <w:rsid w:val="008E0678"/>
    <w:rsid w:val="008E2FB4"/>
    <w:rsid w:val="008E31CC"/>
    <w:rsid w:val="008F40BA"/>
    <w:rsid w:val="008F51E0"/>
    <w:rsid w:val="008F63EC"/>
    <w:rsid w:val="008F6850"/>
    <w:rsid w:val="008F73EE"/>
    <w:rsid w:val="008F77D7"/>
    <w:rsid w:val="0090048D"/>
    <w:rsid w:val="009008D4"/>
    <w:rsid w:val="00901086"/>
    <w:rsid w:val="009035C4"/>
    <w:rsid w:val="0090471D"/>
    <w:rsid w:val="009050A7"/>
    <w:rsid w:val="0090618E"/>
    <w:rsid w:val="009063C7"/>
    <w:rsid w:val="009073E3"/>
    <w:rsid w:val="00910AFC"/>
    <w:rsid w:val="00911B9F"/>
    <w:rsid w:val="00912AC4"/>
    <w:rsid w:val="0091320A"/>
    <w:rsid w:val="00913858"/>
    <w:rsid w:val="00915679"/>
    <w:rsid w:val="0091699E"/>
    <w:rsid w:val="0092135D"/>
    <w:rsid w:val="009217EF"/>
    <w:rsid w:val="00924338"/>
    <w:rsid w:val="00924AAD"/>
    <w:rsid w:val="00925357"/>
    <w:rsid w:val="00926D61"/>
    <w:rsid w:val="00930E91"/>
    <w:rsid w:val="00932B79"/>
    <w:rsid w:val="009337EA"/>
    <w:rsid w:val="00941107"/>
    <w:rsid w:val="00941D4E"/>
    <w:rsid w:val="009425E5"/>
    <w:rsid w:val="00945E47"/>
    <w:rsid w:val="009470ED"/>
    <w:rsid w:val="009501AB"/>
    <w:rsid w:val="00950C3F"/>
    <w:rsid w:val="00952B56"/>
    <w:rsid w:val="0095360D"/>
    <w:rsid w:val="009536D6"/>
    <w:rsid w:val="00955DA7"/>
    <w:rsid w:val="0096095E"/>
    <w:rsid w:val="00966984"/>
    <w:rsid w:val="0096773B"/>
    <w:rsid w:val="00967FA5"/>
    <w:rsid w:val="00970B27"/>
    <w:rsid w:val="00972020"/>
    <w:rsid w:val="0097337D"/>
    <w:rsid w:val="00975B02"/>
    <w:rsid w:val="009774B9"/>
    <w:rsid w:val="0098179C"/>
    <w:rsid w:val="0098422D"/>
    <w:rsid w:val="009851DB"/>
    <w:rsid w:val="0098792C"/>
    <w:rsid w:val="0098797B"/>
    <w:rsid w:val="00987D87"/>
    <w:rsid w:val="00991E7B"/>
    <w:rsid w:val="00991F9D"/>
    <w:rsid w:val="00993B22"/>
    <w:rsid w:val="00994660"/>
    <w:rsid w:val="00994B73"/>
    <w:rsid w:val="009A01E6"/>
    <w:rsid w:val="009A09E7"/>
    <w:rsid w:val="009A28A1"/>
    <w:rsid w:val="009A2991"/>
    <w:rsid w:val="009A39B2"/>
    <w:rsid w:val="009A4D78"/>
    <w:rsid w:val="009B16A5"/>
    <w:rsid w:val="009B3AE1"/>
    <w:rsid w:val="009B4EBF"/>
    <w:rsid w:val="009B523C"/>
    <w:rsid w:val="009B5E5D"/>
    <w:rsid w:val="009C0C08"/>
    <w:rsid w:val="009C170F"/>
    <w:rsid w:val="009C1DF7"/>
    <w:rsid w:val="009C2321"/>
    <w:rsid w:val="009C3A28"/>
    <w:rsid w:val="009C4EB8"/>
    <w:rsid w:val="009C5265"/>
    <w:rsid w:val="009C5646"/>
    <w:rsid w:val="009C5894"/>
    <w:rsid w:val="009C5BD5"/>
    <w:rsid w:val="009C5C99"/>
    <w:rsid w:val="009C6C02"/>
    <w:rsid w:val="009D1040"/>
    <w:rsid w:val="009D10A0"/>
    <w:rsid w:val="009D2A1D"/>
    <w:rsid w:val="009D3205"/>
    <w:rsid w:val="009D4ACE"/>
    <w:rsid w:val="009D4BFB"/>
    <w:rsid w:val="009D5396"/>
    <w:rsid w:val="009D5837"/>
    <w:rsid w:val="009D5EE2"/>
    <w:rsid w:val="009E038C"/>
    <w:rsid w:val="009E188F"/>
    <w:rsid w:val="009E4DBF"/>
    <w:rsid w:val="009E55D4"/>
    <w:rsid w:val="009E58FF"/>
    <w:rsid w:val="009F1C23"/>
    <w:rsid w:val="009F2301"/>
    <w:rsid w:val="009F49C8"/>
    <w:rsid w:val="009F4B0C"/>
    <w:rsid w:val="009F4E68"/>
    <w:rsid w:val="009F5C32"/>
    <w:rsid w:val="009F5E7A"/>
    <w:rsid w:val="009F773F"/>
    <w:rsid w:val="009F775E"/>
    <w:rsid w:val="00A01C5D"/>
    <w:rsid w:val="00A03014"/>
    <w:rsid w:val="00A03504"/>
    <w:rsid w:val="00A05FDE"/>
    <w:rsid w:val="00A0647D"/>
    <w:rsid w:val="00A078EF"/>
    <w:rsid w:val="00A07FF5"/>
    <w:rsid w:val="00A1003C"/>
    <w:rsid w:val="00A10DCD"/>
    <w:rsid w:val="00A110F8"/>
    <w:rsid w:val="00A11816"/>
    <w:rsid w:val="00A11C4D"/>
    <w:rsid w:val="00A11E35"/>
    <w:rsid w:val="00A1235F"/>
    <w:rsid w:val="00A15529"/>
    <w:rsid w:val="00A170B8"/>
    <w:rsid w:val="00A172CC"/>
    <w:rsid w:val="00A20549"/>
    <w:rsid w:val="00A2384C"/>
    <w:rsid w:val="00A24272"/>
    <w:rsid w:val="00A26A80"/>
    <w:rsid w:val="00A26FBB"/>
    <w:rsid w:val="00A27416"/>
    <w:rsid w:val="00A30F4B"/>
    <w:rsid w:val="00A31347"/>
    <w:rsid w:val="00A326B6"/>
    <w:rsid w:val="00A3431D"/>
    <w:rsid w:val="00A3471A"/>
    <w:rsid w:val="00A34B93"/>
    <w:rsid w:val="00A35146"/>
    <w:rsid w:val="00A35C06"/>
    <w:rsid w:val="00A36511"/>
    <w:rsid w:val="00A3655F"/>
    <w:rsid w:val="00A367CE"/>
    <w:rsid w:val="00A3714D"/>
    <w:rsid w:val="00A37655"/>
    <w:rsid w:val="00A40AF6"/>
    <w:rsid w:val="00A40BFE"/>
    <w:rsid w:val="00A41FC0"/>
    <w:rsid w:val="00A4270B"/>
    <w:rsid w:val="00A42F79"/>
    <w:rsid w:val="00A45DB7"/>
    <w:rsid w:val="00A46183"/>
    <w:rsid w:val="00A50DB7"/>
    <w:rsid w:val="00A5428D"/>
    <w:rsid w:val="00A556B0"/>
    <w:rsid w:val="00A559A1"/>
    <w:rsid w:val="00A55F4B"/>
    <w:rsid w:val="00A56D08"/>
    <w:rsid w:val="00A5719F"/>
    <w:rsid w:val="00A571DB"/>
    <w:rsid w:val="00A57524"/>
    <w:rsid w:val="00A6002F"/>
    <w:rsid w:val="00A619B1"/>
    <w:rsid w:val="00A648CB"/>
    <w:rsid w:val="00A64994"/>
    <w:rsid w:val="00A65777"/>
    <w:rsid w:val="00A65C69"/>
    <w:rsid w:val="00A66981"/>
    <w:rsid w:val="00A67B46"/>
    <w:rsid w:val="00A70A58"/>
    <w:rsid w:val="00A70C1F"/>
    <w:rsid w:val="00A73193"/>
    <w:rsid w:val="00A73BFE"/>
    <w:rsid w:val="00A7455A"/>
    <w:rsid w:val="00A749BF"/>
    <w:rsid w:val="00A7591A"/>
    <w:rsid w:val="00A774A5"/>
    <w:rsid w:val="00A77A20"/>
    <w:rsid w:val="00A80FC9"/>
    <w:rsid w:val="00A8146A"/>
    <w:rsid w:val="00A86D03"/>
    <w:rsid w:val="00A874AE"/>
    <w:rsid w:val="00A903D1"/>
    <w:rsid w:val="00A91697"/>
    <w:rsid w:val="00A945FE"/>
    <w:rsid w:val="00A94910"/>
    <w:rsid w:val="00A956E2"/>
    <w:rsid w:val="00A95CB5"/>
    <w:rsid w:val="00A977AC"/>
    <w:rsid w:val="00AA0380"/>
    <w:rsid w:val="00AA03FF"/>
    <w:rsid w:val="00AA1ED2"/>
    <w:rsid w:val="00AA43A9"/>
    <w:rsid w:val="00AA512F"/>
    <w:rsid w:val="00AA5C08"/>
    <w:rsid w:val="00AB1329"/>
    <w:rsid w:val="00AB22EB"/>
    <w:rsid w:val="00AC052A"/>
    <w:rsid w:val="00AC0AC5"/>
    <w:rsid w:val="00AC0D6E"/>
    <w:rsid w:val="00AC3167"/>
    <w:rsid w:val="00AC4EE4"/>
    <w:rsid w:val="00AD1515"/>
    <w:rsid w:val="00AD2CA8"/>
    <w:rsid w:val="00AD4F2F"/>
    <w:rsid w:val="00AD5494"/>
    <w:rsid w:val="00AD6065"/>
    <w:rsid w:val="00AD67CA"/>
    <w:rsid w:val="00AE077D"/>
    <w:rsid w:val="00AE15E3"/>
    <w:rsid w:val="00AE3992"/>
    <w:rsid w:val="00AE644C"/>
    <w:rsid w:val="00AF03FC"/>
    <w:rsid w:val="00AF0B4E"/>
    <w:rsid w:val="00AF0CE6"/>
    <w:rsid w:val="00AF0F09"/>
    <w:rsid w:val="00AF247C"/>
    <w:rsid w:val="00AF2605"/>
    <w:rsid w:val="00AF3A6E"/>
    <w:rsid w:val="00AF4BD5"/>
    <w:rsid w:val="00AF4EFE"/>
    <w:rsid w:val="00B000C8"/>
    <w:rsid w:val="00B0288C"/>
    <w:rsid w:val="00B02E8B"/>
    <w:rsid w:val="00B050A3"/>
    <w:rsid w:val="00B051A8"/>
    <w:rsid w:val="00B10D54"/>
    <w:rsid w:val="00B10F2A"/>
    <w:rsid w:val="00B123F7"/>
    <w:rsid w:val="00B129A3"/>
    <w:rsid w:val="00B15306"/>
    <w:rsid w:val="00B15A35"/>
    <w:rsid w:val="00B1603B"/>
    <w:rsid w:val="00B200B8"/>
    <w:rsid w:val="00B20A3E"/>
    <w:rsid w:val="00B20AB5"/>
    <w:rsid w:val="00B21AFA"/>
    <w:rsid w:val="00B233FE"/>
    <w:rsid w:val="00B238A3"/>
    <w:rsid w:val="00B242CC"/>
    <w:rsid w:val="00B25E0F"/>
    <w:rsid w:val="00B2627D"/>
    <w:rsid w:val="00B27805"/>
    <w:rsid w:val="00B308F0"/>
    <w:rsid w:val="00B31CAD"/>
    <w:rsid w:val="00B32A89"/>
    <w:rsid w:val="00B3354A"/>
    <w:rsid w:val="00B41DD4"/>
    <w:rsid w:val="00B44A76"/>
    <w:rsid w:val="00B44D03"/>
    <w:rsid w:val="00B4512A"/>
    <w:rsid w:val="00B54656"/>
    <w:rsid w:val="00B5594C"/>
    <w:rsid w:val="00B57ABC"/>
    <w:rsid w:val="00B611F9"/>
    <w:rsid w:val="00B61870"/>
    <w:rsid w:val="00B61AC3"/>
    <w:rsid w:val="00B62A67"/>
    <w:rsid w:val="00B62F83"/>
    <w:rsid w:val="00B645BF"/>
    <w:rsid w:val="00B661B1"/>
    <w:rsid w:val="00B66A05"/>
    <w:rsid w:val="00B66C7C"/>
    <w:rsid w:val="00B71EDA"/>
    <w:rsid w:val="00B72DA4"/>
    <w:rsid w:val="00B73356"/>
    <w:rsid w:val="00B75977"/>
    <w:rsid w:val="00B75B22"/>
    <w:rsid w:val="00B75E80"/>
    <w:rsid w:val="00B766B9"/>
    <w:rsid w:val="00B76F7B"/>
    <w:rsid w:val="00B76F81"/>
    <w:rsid w:val="00B77971"/>
    <w:rsid w:val="00B77F7C"/>
    <w:rsid w:val="00B837D2"/>
    <w:rsid w:val="00B83ABF"/>
    <w:rsid w:val="00B868DA"/>
    <w:rsid w:val="00B86D9A"/>
    <w:rsid w:val="00B871C6"/>
    <w:rsid w:val="00B93567"/>
    <w:rsid w:val="00B945BF"/>
    <w:rsid w:val="00B96833"/>
    <w:rsid w:val="00B9756D"/>
    <w:rsid w:val="00BA0B94"/>
    <w:rsid w:val="00BA182F"/>
    <w:rsid w:val="00BA1C52"/>
    <w:rsid w:val="00BA315E"/>
    <w:rsid w:val="00BA3658"/>
    <w:rsid w:val="00BA442A"/>
    <w:rsid w:val="00BA546A"/>
    <w:rsid w:val="00BA60FC"/>
    <w:rsid w:val="00BA75A6"/>
    <w:rsid w:val="00BB113B"/>
    <w:rsid w:val="00BB1BB7"/>
    <w:rsid w:val="00BB1FF7"/>
    <w:rsid w:val="00BB2169"/>
    <w:rsid w:val="00BB6006"/>
    <w:rsid w:val="00BB6CB1"/>
    <w:rsid w:val="00BB7DE5"/>
    <w:rsid w:val="00BC0FCA"/>
    <w:rsid w:val="00BC2959"/>
    <w:rsid w:val="00BC347B"/>
    <w:rsid w:val="00BC6DF9"/>
    <w:rsid w:val="00BC706D"/>
    <w:rsid w:val="00BD0C5C"/>
    <w:rsid w:val="00BD0E1B"/>
    <w:rsid w:val="00BD3D30"/>
    <w:rsid w:val="00BD4C65"/>
    <w:rsid w:val="00BD4F0D"/>
    <w:rsid w:val="00BD788E"/>
    <w:rsid w:val="00BE0476"/>
    <w:rsid w:val="00BE14D8"/>
    <w:rsid w:val="00BE184D"/>
    <w:rsid w:val="00BE264B"/>
    <w:rsid w:val="00BE614A"/>
    <w:rsid w:val="00BE6485"/>
    <w:rsid w:val="00BE6784"/>
    <w:rsid w:val="00BF03FF"/>
    <w:rsid w:val="00BF11D8"/>
    <w:rsid w:val="00BF2179"/>
    <w:rsid w:val="00BF3B91"/>
    <w:rsid w:val="00BF44E3"/>
    <w:rsid w:val="00BF4D9C"/>
    <w:rsid w:val="00BF6579"/>
    <w:rsid w:val="00BF6D34"/>
    <w:rsid w:val="00C015E8"/>
    <w:rsid w:val="00C05482"/>
    <w:rsid w:val="00C106E3"/>
    <w:rsid w:val="00C12D86"/>
    <w:rsid w:val="00C1315A"/>
    <w:rsid w:val="00C207E3"/>
    <w:rsid w:val="00C20C5C"/>
    <w:rsid w:val="00C21577"/>
    <w:rsid w:val="00C21E34"/>
    <w:rsid w:val="00C2444C"/>
    <w:rsid w:val="00C24F05"/>
    <w:rsid w:val="00C3092A"/>
    <w:rsid w:val="00C31330"/>
    <w:rsid w:val="00C31954"/>
    <w:rsid w:val="00C32845"/>
    <w:rsid w:val="00C32BC5"/>
    <w:rsid w:val="00C32DA7"/>
    <w:rsid w:val="00C34538"/>
    <w:rsid w:val="00C34B08"/>
    <w:rsid w:val="00C35E81"/>
    <w:rsid w:val="00C36771"/>
    <w:rsid w:val="00C405ED"/>
    <w:rsid w:val="00C40D02"/>
    <w:rsid w:val="00C40E44"/>
    <w:rsid w:val="00C4148E"/>
    <w:rsid w:val="00C41A2D"/>
    <w:rsid w:val="00C4490F"/>
    <w:rsid w:val="00C44A41"/>
    <w:rsid w:val="00C45579"/>
    <w:rsid w:val="00C45695"/>
    <w:rsid w:val="00C46335"/>
    <w:rsid w:val="00C50CC4"/>
    <w:rsid w:val="00C52CB3"/>
    <w:rsid w:val="00C52FB5"/>
    <w:rsid w:val="00C5342D"/>
    <w:rsid w:val="00C5389D"/>
    <w:rsid w:val="00C55AF0"/>
    <w:rsid w:val="00C606BE"/>
    <w:rsid w:val="00C6166E"/>
    <w:rsid w:val="00C6189D"/>
    <w:rsid w:val="00C61EE9"/>
    <w:rsid w:val="00C61EFB"/>
    <w:rsid w:val="00C62965"/>
    <w:rsid w:val="00C62DFA"/>
    <w:rsid w:val="00C64A9B"/>
    <w:rsid w:val="00C64C0F"/>
    <w:rsid w:val="00C66C71"/>
    <w:rsid w:val="00C7032F"/>
    <w:rsid w:val="00C706ED"/>
    <w:rsid w:val="00C70F3B"/>
    <w:rsid w:val="00C7157B"/>
    <w:rsid w:val="00C73117"/>
    <w:rsid w:val="00C7431A"/>
    <w:rsid w:val="00C7700D"/>
    <w:rsid w:val="00C800C1"/>
    <w:rsid w:val="00C8147A"/>
    <w:rsid w:val="00C84DF9"/>
    <w:rsid w:val="00C8664D"/>
    <w:rsid w:val="00C866A7"/>
    <w:rsid w:val="00C87AA0"/>
    <w:rsid w:val="00C87BE7"/>
    <w:rsid w:val="00C90FFD"/>
    <w:rsid w:val="00C937C0"/>
    <w:rsid w:val="00C95D98"/>
    <w:rsid w:val="00C97F33"/>
    <w:rsid w:val="00CA07C2"/>
    <w:rsid w:val="00CA0FE2"/>
    <w:rsid w:val="00CA1066"/>
    <w:rsid w:val="00CA158F"/>
    <w:rsid w:val="00CA2B14"/>
    <w:rsid w:val="00CA3D3D"/>
    <w:rsid w:val="00CA3F9D"/>
    <w:rsid w:val="00CA6FAA"/>
    <w:rsid w:val="00CB10EE"/>
    <w:rsid w:val="00CB1714"/>
    <w:rsid w:val="00CB32BF"/>
    <w:rsid w:val="00CB4500"/>
    <w:rsid w:val="00CB6FF8"/>
    <w:rsid w:val="00CB788C"/>
    <w:rsid w:val="00CB78F0"/>
    <w:rsid w:val="00CC1786"/>
    <w:rsid w:val="00CC31C5"/>
    <w:rsid w:val="00CC5462"/>
    <w:rsid w:val="00CD266C"/>
    <w:rsid w:val="00CD38EF"/>
    <w:rsid w:val="00CD4A7E"/>
    <w:rsid w:val="00CD55FB"/>
    <w:rsid w:val="00CD61EA"/>
    <w:rsid w:val="00CD7023"/>
    <w:rsid w:val="00CD77C7"/>
    <w:rsid w:val="00CE001F"/>
    <w:rsid w:val="00CE12F1"/>
    <w:rsid w:val="00CE1CE4"/>
    <w:rsid w:val="00CE21DD"/>
    <w:rsid w:val="00CE3448"/>
    <w:rsid w:val="00CE3FF8"/>
    <w:rsid w:val="00CF1999"/>
    <w:rsid w:val="00CF4760"/>
    <w:rsid w:val="00CF5DE7"/>
    <w:rsid w:val="00CF65B0"/>
    <w:rsid w:val="00D00051"/>
    <w:rsid w:val="00D00614"/>
    <w:rsid w:val="00D00A3B"/>
    <w:rsid w:val="00D00FD4"/>
    <w:rsid w:val="00D01B2F"/>
    <w:rsid w:val="00D023E9"/>
    <w:rsid w:val="00D041D2"/>
    <w:rsid w:val="00D04402"/>
    <w:rsid w:val="00D04850"/>
    <w:rsid w:val="00D04C6E"/>
    <w:rsid w:val="00D06411"/>
    <w:rsid w:val="00D0661A"/>
    <w:rsid w:val="00D067C1"/>
    <w:rsid w:val="00D104D9"/>
    <w:rsid w:val="00D1064C"/>
    <w:rsid w:val="00D10C02"/>
    <w:rsid w:val="00D11BF2"/>
    <w:rsid w:val="00D12253"/>
    <w:rsid w:val="00D15348"/>
    <w:rsid w:val="00D16336"/>
    <w:rsid w:val="00D17981"/>
    <w:rsid w:val="00D215AD"/>
    <w:rsid w:val="00D227C6"/>
    <w:rsid w:val="00D2288D"/>
    <w:rsid w:val="00D228D7"/>
    <w:rsid w:val="00D232D1"/>
    <w:rsid w:val="00D235BF"/>
    <w:rsid w:val="00D2588E"/>
    <w:rsid w:val="00D264C4"/>
    <w:rsid w:val="00D272DC"/>
    <w:rsid w:val="00D304E0"/>
    <w:rsid w:val="00D30592"/>
    <w:rsid w:val="00D30CDF"/>
    <w:rsid w:val="00D31B50"/>
    <w:rsid w:val="00D31E26"/>
    <w:rsid w:val="00D322CC"/>
    <w:rsid w:val="00D3234C"/>
    <w:rsid w:val="00D33646"/>
    <w:rsid w:val="00D35ED6"/>
    <w:rsid w:val="00D3718B"/>
    <w:rsid w:val="00D404EB"/>
    <w:rsid w:val="00D42B54"/>
    <w:rsid w:val="00D439D5"/>
    <w:rsid w:val="00D439EA"/>
    <w:rsid w:val="00D461A4"/>
    <w:rsid w:val="00D46A43"/>
    <w:rsid w:val="00D47D76"/>
    <w:rsid w:val="00D51EAF"/>
    <w:rsid w:val="00D534DA"/>
    <w:rsid w:val="00D5512D"/>
    <w:rsid w:val="00D557D4"/>
    <w:rsid w:val="00D5697F"/>
    <w:rsid w:val="00D573C1"/>
    <w:rsid w:val="00D5781A"/>
    <w:rsid w:val="00D60852"/>
    <w:rsid w:val="00D6485E"/>
    <w:rsid w:val="00D670F4"/>
    <w:rsid w:val="00D71F81"/>
    <w:rsid w:val="00D7277E"/>
    <w:rsid w:val="00D72A2F"/>
    <w:rsid w:val="00D73841"/>
    <w:rsid w:val="00D75A2E"/>
    <w:rsid w:val="00D769C7"/>
    <w:rsid w:val="00D76D3A"/>
    <w:rsid w:val="00D770E2"/>
    <w:rsid w:val="00D77BD2"/>
    <w:rsid w:val="00D805D9"/>
    <w:rsid w:val="00D84F65"/>
    <w:rsid w:val="00D859B7"/>
    <w:rsid w:val="00D9111B"/>
    <w:rsid w:val="00D9149B"/>
    <w:rsid w:val="00D91D5E"/>
    <w:rsid w:val="00D930C9"/>
    <w:rsid w:val="00D943DD"/>
    <w:rsid w:val="00D961C5"/>
    <w:rsid w:val="00D96807"/>
    <w:rsid w:val="00D97705"/>
    <w:rsid w:val="00D9781D"/>
    <w:rsid w:val="00DA0920"/>
    <w:rsid w:val="00DA0A1E"/>
    <w:rsid w:val="00DA2844"/>
    <w:rsid w:val="00DA2BBC"/>
    <w:rsid w:val="00DA2C59"/>
    <w:rsid w:val="00DA5CAA"/>
    <w:rsid w:val="00DB0BC3"/>
    <w:rsid w:val="00DB0CDE"/>
    <w:rsid w:val="00DB42EB"/>
    <w:rsid w:val="00DB5116"/>
    <w:rsid w:val="00DB7386"/>
    <w:rsid w:val="00DB77E4"/>
    <w:rsid w:val="00DC09E7"/>
    <w:rsid w:val="00DC0C08"/>
    <w:rsid w:val="00DC0C1E"/>
    <w:rsid w:val="00DC1A83"/>
    <w:rsid w:val="00DC3CE1"/>
    <w:rsid w:val="00DC41D8"/>
    <w:rsid w:val="00DC51C2"/>
    <w:rsid w:val="00DC5252"/>
    <w:rsid w:val="00DC76CE"/>
    <w:rsid w:val="00DD070D"/>
    <w:rsid w:val="00DD0E53"/>
    <w:rsid w:val="00DD107E"/>
    <w:rsid w:val="00DD2DD1"/>
    <w:rsid w:val="00DD2DFD"/>
    <w:rsid w:val="00DD381F"/>
    <w:rsid w:val="00DD4406"/>
    <w:rsid w:val="00DD585D"/>
    <w:rsid w:val="00DD61E4"/>
    <w:rsid w:val="00DD64F1"/>
    <w:rsid w:val="00DE2341"/>
    <w:rsid w:val="00DE3008"/>
    <w:rsid w:val="00DE5727"/>
    <w:rsid w:val="00DF0009"/>
    <w:rsid w:val="00DF306B"/>
    <w:rsid w:val="00DF41F6"/>
    <w:rsid w:val="00DF5DC5"/>
    <w:rsid w:val="00DF5E95"/>
    <w:rsid w:val="00DF75D2"/>
    <w:rsid w:val="00E001E9"/>
    <w:rsid w:val="00E00743"/>
    <w:rsid w:val="00E00C0B"/>
    <w:rsid w:val="00E01B9C"/>
    <w:rsid w:val="00E04D55"/>
    <w:rsid w:val="00E05D39"/>
    <w:rsid w:val="00E06042"/>
    <w:rsid w:val="00E06974"/>
    <w:rsid w:val="00E07D66"/>
    <w:rsid w:val="00E07D83"/>
    <w:rsid w:val="00E10DA8"/>
    <w:rsid w:val="00E10EEF"/>
    <w:rsid w:val="00E13535"/>
    <w:rsid w:val="00E13F54"/>
    <w:rsid w:val="00E14EC4"/>
    <w:rsid w:val="00E157A1"/>
    <w:rsid w:val="00E168D6"/>
    <w:rsid w:val="00E1735B"/>
    <w:rsid w:val="00E178A1"/>
    <w:rsid w:val="00E2075A"/>
    <w:rsid w:val="00E228F1"/>
    <w:rsid w:val="00E23142"/>
    <w:rsid w:val="00E26225"/>
    <w:rsid w:val="00E278C5"/>
    <w:rsid w:val="00E27ED5"/>
    <w:rsid w:val="00E320C2"/>
    <w:rsid w:val="00E33556"/>
    <w:rsid w:val="00E33B02"/>
    <w:rsid w:val="00E37CEA"/>
    <w:rsid w:val="00E37F3F"/>
    <w:rsid w:val="00E40389"/>
    <w:rsid w:val="00E40D3A"/>
    <w:rsid w:val="00E43063"/>
    <w:rsid w:val="00E445A5"/>
    <w:rsid w:val="00E4482E"/>
    <w:rsid w:val="00E45E63"/>
    <w:rsid w:val="00E4646A"/>
    <w:rsid w:val="00E4769B"/>
    <w:rsid w:val="00E51F06"/>
    <w:rsid w:val="00E5200F"/>
    <w:rsid w:val="00E5693F"/>
    <w:rsid w:val="00E614BA"/>
    <w:rsid w:val="00E63812"/>
    <w:rsid w:val="00E63997"/>
    <w:rsid w:val="00E643DB"/>
    <w:rsid w:val="00E651C8"/>
    <w:rsid w:val="00E656EE"/>
    <w:rsid w:val="00E703D0"/>
    <w:rsid w:val="00E72815"/>
    <w:rsid w:val="00E72B7B"/>
    <w:rsid w:val="00E72FFD"/>
    <w:rsid w:val="00E740A4"/>
    <w:rsid w:val="00E77195"/>
    <w:rsid w:val="00E77422"/>
    <w:rsid w:val="00E77C23"/>
    <w:rsid w:val="00E811B8"/>
    <w:rsid w:val="00E8146F"/>
    <w:rsid w:val="00E81664"/>
    <w:rsid w:val="00E81ECE"/>
    <w:rsid w:val="00E826C0"/>
    <w:rsid w:val="00E827CF"/>
    <w:rsid w:val="00E82A28"/>
    <w:rsid w:val="00E82BFE"/>
    <w:rsid w:val="00E85409"/>
    <w:rsid w:val="00E85915"/>
    <w:rsid w:val="00E868FF"/>
    <w:rsid w:val="00E86C85"/>
    <w:rsid w:val="00E86ECA"/>
    <w:rsid w:val="00E91E4F"/>
    <w:rsid w:val="00E94A16"/>
    <w:rsid w:val="00E95128"/>
    <w:rsid w:val="00EA0886"/>
    <w:rsid w:val="00EA0FAB"/>
    <w:rsid w:val="00EA1D34"/>
    <w:rsid w:val="00EA233E"/>
    <w:rsid w:val="00EA38EE"/>
    <w:rsid w:val="00EA3EFB"/>
    <w:rsid w:val="00EA7B0A"/>
    <w:rsid w:val="00EA7E3F"/>
    <w:rsid w:val="00EB158E"/>
    <w:rsid w:val="00EB2506"/>
    <w:rsid w:val="00EB2FB4"/>
    <w:rsid w:val="00EB3E26"/>
    <w:rsid w:val="00EB42C3"/>
    <w:rsid w:val="00EB68B3"/>
    <w:rsid w:val="00EB7AE2"/>
    <w:rsid w:val="00EB7F4F"/>
    <w:rsid w:val="00EC0EA6"/>
    <w:rsid w:val="00EC1122"/>
    <w:rsid w:val="00EC299A"/>
    <w:rsid w:val="00EC32D1"/>
    <w:rsid w:val="00EC7912"/>
    <w:rsid w:val="00ED120F"/>
    <w:rsid w:val="00ED1B56"/>
    <w:rsid w:val="00ED479E"/>
    <w:rsid w:val="00ED5E36"/>
    <w:rsid w:val="00ED760F"/>
    <w:rsid w:val="00EE029A"/>
    <w:rsid w:val="00EE2906"/>
    <w:rsid w:val="00EE420D"/>
    <w:rsid w:val="00EE455B"/>
    <w:rsid w:val="00EF0D21"/>
    <w:rsid w:val="00EF159C"/>
    <w:rsid w:val="00EF15A3"/>
    <w:rsid w:val="00EF1791"/>
    <w:rsid w:val="00EF1A0F"/>
    <w:rsid w:val="00EF47EE"/>
    <w:rsid w:val="00EF600F"/>
    <w:rsid w:val="00EF751A"/>
    <w:rsid w:val="00EF7787"/>
    <w:rsid w:val="00EF7D8B"/>
    <w:rsid w:val="00EF7DB2"/>
    <w:rsid w:val="00F002F7"/>
    <w:rsid w:val="00F006AF"/>
    <w:rsid w:val="00F008B2"/>
    <w:rsid w:val="00F029E0"/>
    <w:rsid w:val="00F04392"/>
    <w:rsid w:val="00F045B2"/>
    <w:rsid w:val="00F0482A"/>
    <w:rsid w:val="00F058AC"/>
    <w:rsid w:val="00F06159"/>
    <w:rsid w:val="00F06C05"/>
    <w:rsid w:val="00F1105C"/>
    <w:rsid w:val="00F1229D"/>
    <w:rsid w:val="00F13067"/>
    <w:rsid w:val="00F13304"/>
    <w:rsid w:val="00F14984"/>
    <w:rsid w:val="00F155B8"/>
    <w:rsid w:val="00F168CF"/>
    <w:rsid w:val="00F16A1C"/>
    <w:rsid w:val="00F17B23"/>
    <w:rsid w:val="00F17FA2"/>
    <w:rsid w:val="00F20515"/>
    <w:rsid w:val="00F20E06"/>
    <w:rsid w:val="00F23170"/>
    <w:rsid w:val="00F24824"/>
    <w:rsid w:val="00F24B71"/>
    <w:rsid w:val="00F25768"/>
    <w:rsid w:val="00F257CA"/>
    <w:rsid w:val="00F26FAF"/>
    <w:rsid w:val="00F315D6"/>
    <w:rsid w:val="00F342A9"/>
    <w:rsid w:val="00F3511B"/>
    <w:rsid w:val="00F355B3"/>
    <w:rsid w:val="00F37E41"/>
    <w:rsid w:val="00F40142"/>
    <w:rsid w:val="00F4386D"/>
    <w:rsid w:val="00F4450A"/>
    <w:rsid w:val="00F5146C"/>
    <w:rsid w:val="00F51FA0"/>
    <w:rsid w:val="00F55628"/>
    <w:rsid w:val="00F561C9"/>
    <w:rsid w:val="00F572FA"/>
    <w:rsid w:val="00F579EA"/>
    <w:rsid w:val="00F605A4"/>
    <w:rsid w:val="00F617FB"/>
    <w:rsid w:val="00F61FCA"/>
    <w:rsid w:val="00F62493"/>
    <w:rsid w:val="00F62650"/>
    <w:rsid w:val="00F63980"/>
    <w:rsid w:val="00F63C8D"/>
    <w:rsid w:val="00F6574C"/>
    <w:rsid w:val="00F6653B"/>
    <w:rsid w:val="00F667F9"/>
    <w:rsid w:val="00F66FCB"/>
    <w:rsid w:val="00F67675"/>
    <w:rsid w:val="00F67775"/>
    <w:rsid w:val="00F705B8"/>
    <w:rsid w:val="00F70689"/>
    <w:rsid w:val="00F70E36"/>
    <w:rsid w:val="00F7127C"/>
    <w:rsid w:val="00F71620"/>
    <w:rsid w:val="00F71FBB"/>
    <w:rsid w:val="00F7266E"/>
    <w:rsid w:val="00F7481F"/>
    <w:rsid w:val="00F75EC5"/>
    <w:rsid w:val="00F76A7B"/>
    <w:rsid w:val="00F77A29"/>
    <w:rsid w:val="00F80CC6"/>
    <w:rsid w:val="00F81339"/>
    <w:rsid w:val="00F817DB"/>
    <w:rsid w:val="00F81F87"/>
    <w:rsid w:val="00F8246A"/>
    <w:rsid w:val="00F83F5E"/>
    <w:rsid w:val="00F844C6"/>
    <w:rsid w:val="00F84693"/>
    <w:rsid w:val="00F85DB6"/>
    <w:rsid w:val="00F90090"/>
    <w:rsid w:val="00F91297"/>
    <w:rsid w:val="00F91324"/>
    <w:rsid w:val="00F91357"/>
    <w:rsid w:val="00F93D6F"/>
    <w:rsid w:val="00F97C9C"/>
    <w:rsid w:val="00F97CD7"/>
    <w:rsid w:val="00FA0F8A"/>
    <w:rsid w:val="00FA37D5"/>
    <w:rsid w:val="00FA460D"/>
    <w:rsid w:val="00FA528E"/>
    <w:rsid w:val="00FA5D6D"/>
    <w:rsid w:val="00FA6473"/>
    <w:rsid w:val="00FA67FE"/>
    <w:rsid w:val="00FB099D"/>
    <w:rsid w:val="00FB1827"/>
    <w:rsid w:val="00FB1D52"/>
    <w:rsid w:val="00FB225A"/>
    <w:rsid w:val="00FB34BF"/>
    <w:rsid w:val="00FB46FB"/>
    <w:rsid w:val="00FB4C4F"/>
    <w:rsid w:val="00FB4F26"/>
    <w:rsid w:val="00FB5429"/>
    <w:rsid w:val="00FB7C74"/>
    <w:rsid w:val="00FC178F"/>
    <w:rsid w:val="00FC1E17"/>
    <w:rsid w:val="00FC257C"/>
    <w:rsid w:val="00FC2E43"/>
    <w:rsid w:val="00FD035A"/>
    <w:rsid w:val="00FD1052"/>
    <w:rsid w:val="00FD1A1F"/>
    <w:rsid w:val="00FD1CDA"/>
    <w:rsid w:val="00FD29EE"/>
    <w:rsid w:val="00FD2F8A"/>
    <w:rsid w:val="00FD79A0"/>
    <w:rsid w:val="00FE0AC8"/>
    <w:rsid w:val="00FE126B"/>
    <w:rsid w:val="00FE22E8"/>
    <w:rsid w:val="00FE4076"/>
    <w:rsid w:val="00FE4465"/>
    <w:rsid w:val="00FE48AE"/>
    <w:rsid w:val="00FE4BC8"/>
    <w:rsid w:val="00FE6D10"/>
    <w:rsid w:val="00FE7ACC"/>
    <w:rsid w:val="00FF00B7"/>
    <w:rsid w:val="00FF05E8"/>
    <w:rsid w:val="00FF1890"/>
    <w:rsid w:val="00FF2592"/>
    <w:rsid w:val="074C54B6"/>
    <w:rsid w:val="088B2094"/>
    <w:rsid w:val="10463A1A"/>
    <w:rsid w:val="16005ED1"/>
    <w:rsid w:val="18B530E7"/>
    <w:rsid w:val="1DB12DC6"/>
    <w:rsid w:val="20FE1786"/>
    <w:rsid w:val="329F1229"/>
    <w:rsid w:val="357E7689"/>
    <w:rsid w:val="3D04004E"/>
    <w:rsid w:val="3D476248"/>
    <w:rsid w:val="432560CE"/>
    <w:rsid w:val="44C915F6"/>
    <w:rsid w:val="4C0068BD"/>
    <w:rsid w:val="4DD44448"/>
    <w:rsid w:val="50524BA1"/>
    <w:rsid w:val="544C011A"/>
    <w:rsid w:val="59555727"/>
    <w:rsid w:val="5BCE1652"/>
    <w:rsid w:val="62AA22C8"/>
    <w:rsid w:val="6A5F33EF"/>
    <w:rsid w:val="78DF35CE"/>
    <w:rsid w:val="7D3E3B80"/>
    <w:rsid w:val="7DA90259"/>
    <w:rsid w:val="7FD975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qFormat="1"/>
    <w:lsdException w:name="Subtitle" w:semiHidden="0" w:uiPriority="0" w:unhideWhenUsed="0" w:qFormat="1"/>
    <w:lsdException w:name="Body Text First Indent" w:uiPriority="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1EF"/>
    <w:pPr>
      <w:widowControl w:val="0"/>
      <w:jc w:val="both"/>
    </w:pPr>
    <w:rPr>
      <w:color w:val="000000"/>
      <w:sz w:val="21"/>
      <w:szCs w:val="21"/>
    </w:rPr>
  </w:style>
  <w:style w:type="paragraph" w:styleId="1">
    <w:name w:val="heading 1"/>
    <w:basedOn w:val="a"/>
    <w:next w:val="a0"/>
    <w:link w:val="1Char"/>
    <w:qFormat/>
    <w:rsid w:val="003861EF"/>
    <w:pPr>
      <w:snapToGrid w:val="0"/>
      <w:spacing w:beforeLines="100" w:afterLines="100" w:line="560" w:lineRule="exact"/>
      <w:jc w:val="center"/>
      <w:outlineLvl w:val="0"/>
    </w:pPr>
    <w:rPr>
      <w:rFonts w:ascii="黑体" w:eastAsia="黑体"/>
      <w:sz w:val="30"/>
      <w:szCs w:val="30"/>
    </w:rPr>
  </w:style>
  <w:style w:type="paragraph" w:styleId="5">
    <w:name w:val="heading 5"/>
    <w:basedOn w:val="a"/>
    <w:next w:val="a"/>
    <w:link w:val="5Char"/>
    <w:semiHidden/>
    <w:unhideWhenUsed/>
    <w:qFormat/>
    <w:rsid w:val="003861EF"/>
    <w:pPr>
      <w:numPr>
        <w:ilvl w:val="4"/>
        <w:numId w:val="1"/>
      </w:numPr>
      <w:tabs>
        <w:tab w:val="clear" w:pos="0"/>
        <w:tab w:val="left" w:pos="780"/>
      </w:tabs>
      <w:snapToGrid w:val="0"/>
      <w:spacing w:before="260" w:after="260" w:line="336" w:lineRule="auto"/>
      <w:ind w:leftChars="200" w:left="780" w:hangingChars="200" w:hanging="360"/>
      <w:outlineLvl w:val="4"/>
    </w:pPr>
    <w:rPr>
      <w:rFonts w:eastAsia="永中仿宋"/>
      <w:b/>
      <w:sz w:val="28"/>
      <w:szCs w:val="32"/>
    </w:rPr>
  </w:style>
  <w:style w:type="paragraph" w:styleId="6">
    <w:name w:val="heading 6"/>
    <w:basedOn w:val="a"/>
    <w:next w:val="a"/>
    <w:link w:val="6Char"/>
    <w:semiHidden/>
    <w:unhideWhenUsed/>
    <w:qFormat/>
    <w:rsid w:val="003861EF"/>
    <w:pPr>
      <w:numPr>
        <w:ilvl w:val="5"/>
        <w:numId w:val="1"/>
      </w:numPr>
      <w:tabs>
        <w:tab w:val="left" w:pos="780"/>
      </w:tabs>
      <w:snapToGrid w:val="0"/>
      <w:spacing w:before="240" w:after="60" w:line="336" w:lineRule="auto"/>
      <w:ind w:leftChars="200" w:left="780" w:hangingChars="200" w:hanging="200"/>
      <w:outlineLvl w:val="5"/>
    </w:pPr>
    <w:rPr>
      <w:rFonts w:ascii="Arial" w:eastAsia="永中黑体" w:hAnsi="Arial"/>
      <w:b/>
      <w:sz w:val="32"/>
      <w:szCs w:val="32"/>
    </w:rPr>
  </w:style>
  <w:style w:type="paragraph" w:styleId="7">
    <w:name w:val="heading 7"/>
    <w:basedOn w:val="a"/>
    <w:next w:val="a"/>
    <w:link w:val="7Char"/>
    <w:semiHidden/>
    <w:unhideWhenUsed/>
    <w:qFormat/>
    <w:rsid w:val="003861EF"/>
    <w:pPr>
      <w:numPr>
        <w:ilvl w:val="6"/>
        <w:numId w:val="1"/>
      </w:numPr>
      <w:tabs>
        <w:tab w:val="left" w:pos="780"/>
      </w:tabs>
      <w:snapToGrid w:val="0"/>
      <w:spacing w:before="240" w:after="60" w:line="336" w:lineRule="auto"/>
      <w:ind w:leftChars="200" w:left="780" w:hangingChars="200" w:hanging="200"/>
      <w:outlineLvl w:val="6"/>
    </w:pPr>
    <w:rPr>
      <w:rFonts w:eastAsia="永中仿宋"/>
      <w:b/>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
    <w:link w:val="Char1"/>
    <w:semiHidden/>
    <w:unhideWhenUsed/>
    <w:qFormat/>
    <w:rsid w:val="003861EF"/>
    <w:pPr>
      <w:snapToGrid w:val="0"/>
      <w:spacing w:line="336" w:lineRule="auto"/>
      <w:ind w:firstLineChars="200" w:firstLine="200"/>
    </w:pPr>
    <w:rPr>
      <w:rFonts w:eastAsia="仿宋_GB2312"/>
      <w:sz w:val="32"/>
      <w:szCs w:val="32"/>
    </w:rPr>
  </w:style>
  <w:style w:type="paragraph" w:styleId="a4">
    <w:name w:val="annotation text"/>
    <w:basedOn w:val="a"/>
    <w:link w:val="Char"/>
    <w:uiPriority w:val="99"/>
    <w:semiHidden/>
    <w:unhideWhenUsed/>
    <w:qFormat/>
    <w:rsid w:val="003861EF"/>
    <w:pPr>
      <w:jc w:val="left"/>
    </w:pPr>
  </w:style>
  <w:style w:type="paragraph" w:styleId="a5">
    <w:name w:val="Body Text"/>
    <w:basedOn w:val="a"/>
    <w:link w:val="Char0"/>
    <w:uiPriority w:val="99"/>
    <w:semiHidden/>
    <w:unhideWhenUsed/>
    <w:qFormat/>
    <w:rsid w:val="003861EF"/>
    <w:pPr>
      <w:spacing w:after="120"/>
    </w:pPr>
  </w:style>
  <w:style w:type="paragraph" w:styleId="a6">
    <w:name w:val="Body Text Indent"/>
    <w:basedOn w:val="a"/>
    <w:link w:val="Char2"/>
    <w:uiPriority w:val="99"/>
    <w:semiHidden/>
    <w:unhideWhenUsed/>
    <w:qFormat/>
    <w:rsid w:val="003861EF"/>
    <w:pPr>
      <w:spacing w:after="120"/>
      <w:ind w:leftChars="200" w:left="420"/>
    </w:pPr>
  </w:style>
  <w:style w:type="paragraph" w:styleId="a7">
    <w:name w:val="Balloon Text"/>
    <w:basedOn w:val="a"/>
    <w:link w:val="Char3"/>
    <w:uiPriority w:val="99"/>
    <w:semiHidden/>
    <w:unhideWhenUsed/>
    <w:qFormat/>
    <w:rsid w:val="003861EF"/>
    <w:rPr>
      <w:sz w:val="18"/>
      <w:szCs w:val="18"/>
    </w:rPr>
  </w:style>
  <w:style w:type="paragraph" w:styleId="a8">
    <w:name w:val="footer"/>
    <w:basedOn w:val="a"/>
    <w:link w:val="Char4"/>
    <w:uiPriority w:val="99"/>
    <w:unhideWhenUsed/>
    <w:qFormat/>
    <w:rsid w:val="003861EF"/>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3861EF"/>
    <w:pPr>
      <w:pBdr>
        <w:bottom w:val="single" w:sz="6" w:space="1" w:color="auto"/>
      </w:pBdr>
      <w:tabs>
        <w:tab w:val="center" w:pos="4153"/>
        <w:tab w:val="right" w:pos="8306"/>
      </w:tabs>
      <w:snapToGrid w:val="0"/>
      <w:jc w:val="center"/>
    </w:pPr>
    <w:rPr>
      <w:sz w:val="18"/>
      <w:szCs w:val="18"/>
    </w:rPr>
  </w:style>
  <w:style w:type="paragraph" w:styleId="aa">
    <w:name w:val="Subtitle"/>
    <w:basedOn w:val="a"/>
    <w:next w:val="a0"/>
    <w:link w:val="Char6"/>
    <w:qFormat/>
    <w:rsid w:val="003861EF"/>
    <w:pPr>
      <w:snapToGrid w:val="0"/>
      <w:spacing w:beforeLines="50" w:afterLines="50" w:line="336" w:lineRule="auto"/>
      <w:jc w:val="center"/>
      <w:outlineLvl w:val="1"/>
    </w:pPr>
    <w:rPr>
      <w:rFonts w:eastAsia="楷体_GB2312" w:cs="Arial"/>
      <w:bCs/>
      <w:kern w:val="28"/>
      <w:sz w:val="32"/>
      <w:szCs w:val="36"/>
    </w:rPr>
  </w:style>
  <w:style w:type="paragraph" w:styleId="ab">
    <w:name w:val="Normal (Web)"/>
    <w:basedOn w:val="a"/>
    <w:qFormat/>
    <w:rsid w:val="003861EF"/>
    <w:pPr>
      <w:widowControl/>
      <w:spacing w:before="100" w:beforeAutospacing="1" w:after="100" w:afterAutospacing="1"/>
      <w:jc w:val="left"/>
    </w:pPr>
    <w:rPr>
      <w:rFonts w:ascii="宋体" w:hAnsi="宋体" w:cs="宋体"/>
      <w:color w:val="auto"/>
      <w:sz w:val="24"/>
      <w:szCs w:val="24"/>
    </w:rPr>
  </w:style>
  <w:style w:type="paragraph" w:styleId="ac">
    <w:name w:val="annotation subject"/>
    <w:basedOn w:val="a4"/>
    <w:next w:val="a4"/>
    <w:link w:val="Char7"/>
    <w:uiPriority w:val="99"/>
    <w:semiHidden/>
    <w:unhideWhenUsed/>
    <w:qFormat/>
    <w:rsid w:val="003861EF"/>
    <w:rPr>
      <w:b/>
      <w:bCs/>
    </w:rPr>
  </w:style>
  <w:style w:type="character" w:styleId="ad">
    <w:name w:val="annotation reference"/>
    <w:basedOn w:val="a1"/>
    <w:uiPriority w:val="99"/>
    <w:semiHidden/>
    <w:unhideWhenUsed/>
    <w:qFormat/>
    <w:rsid w:val="003861EF"/>
    <w:rPr>
      <w:sz w:val="21"/>
      <w:szCs w:val="21"/>
    </w:rPr>
  </w:style>
  <w:style w:type="character" w:customStyle="1" w:styleId="1Char">
    <w:name w:val="标题 1 Char"/>
    <w:basedOn w:val="a1"/>
    <w:link w:val="1"/>
    <w:qFormat/>
    <w:rsid w:val="003861EF"/>
    <w:rPr>
      <w:rFonts w:ascii="黑体" w:eastAsia="黑体" w:hAnsi="Times New Roman" w:cs="Times New Roman"/>
      <w:color w:val="000000"/>
      <w:kern w:val="0"/>
      <w:sz w:val="30"/>
      <w:szCs w:val="30"/>
    </w:rPr>
  </w:style>
  <w:style w:type="character" w:customStyle="1" w:styleId="5Char">
    <w:name w:val="标题 5 Char"/>
    <w:basedOn w:val="a1"/>
    <w:link w:val="5"/>
    <w:semiHidden/>
    <w:qFormat/>
    <w:rsid w:val="003861EF"/>
    <w:rPr>
      <w:rFonts w:ascii="Times New Roman" w:eastAsia="永中仿宋" w:hAnsi="Times New Roman" w:cs="Times New Roman"/>
      <w:b/>
      <w:color w:val="000000"/>
      <w:kern w:val="0"/>
      <w:sz w:val="28"/>
      <w:szCs w:val="32"/>
    </w:rPr>
  </w:style>
  <w:style w:type="character" w:customStyle="1" w:styleId="6Char">
    <w:name w:val="标题 6 Char"/>
    <w:basedOn w:val="a1"/>
    <w:link w:val="6"/>
    <w:semiHidden/>
    <w:qFormat/>
    <w:rsid w:val="003861EF"/>
    <w:rPr>
      <w:rFonts w:ascii="Arial" w:eastAsia="永中黑体" w:hAnsi="Arial" w:cs="Times New Roman"/>
      <w:b/>
      <w:color w:val="000000"/>
      <w:kern w:val="0"/>
      <w:sz w:val="32"/>
      <w:szCs w:val="32"/>
    </w:rPr>
  </w:style>
  <w:style w:type="character" w:customStyle="1" w:styleId="7Char">
    <w:name w:val="标题 7 Char"/>
    <w:basedOn w:val="a1"/>
    <w:link w:val="7"/>
    <w:semiHidden/>
    <w:qFormat/>
    <w:rsid w:val="003861EF"/>
    <w:rPr>
      <w:rFonts w:ascii="Times New Roman" w:eastAsia="永中仿宋" w:hAnsi="Times New Roman" w:cs="Times New Roman"/>
      <w:b/>
      <w:color w:val="000000"/>
      <w:kern w:val="0"/>
      <w:sz w:val="32"/>
      <w:szCs w:val="32"/>
    </w:rPr>
  </w:style>
  <w:style w:type="character" w:customStyle="1" w:styleId="Char0">
    <w:name w:val="正文文本 Char"/>
    <w:basedOn w:val="a1"/>
    <w:link w:val="a5"/>
    <w:uiPriority w:val="99"/>
    <w:semiHidden/>
    <w:qFormat/>
    <w:rsid w:val="003861EF"/>
    <w:rPr>
      <w:rFonts w:ascii="Times New Roman" w:eastAsia="宋体" w:hAnsi="Times New Roman" w:cs="Times New Roman"/>
      <w:color w:val="000000"/>
      <w:kern w:val="0"/>
      <w:szCs w:val="21"/>
    </w:rPr>
  </w:style>
  <w:style w:type="character" w:customStyle="1" w:styleId="Char1">
    <w:name w:val="正文首行缩进 Char1"/>
    <w:basedOn w:val="Char0"/>
    <w:link w:val="a0"/>
    <w:semiHidden/>
    <w:qFormat/>
    <w:rsid w:val="003861EF"/>
    <w:rPr>
      <w:rFonts w:ascii="Times New Roman" w:eastAsia="仿宋_GB2312" w:hAnsi="Times New Roman" w:cs="Times New Roman"/>
      <w:color w:val="000000"/>
      <w:kern w:val="0"/>
      <w:sz w:val="32"/>
      <w:szCs w:val="32"/>
    </w:rPr>
  </w:style>
  <w:style w:type="paragraph" w:customStyle="1" w:styleId="ae">
    <w:name w:val="小三文"/>
    <w:basedOn w:val="a"/>
    <w:qFormat/>
    <w:rsid w:val="003861EF"/>
    <w:pPr>
      <w:snapToGrid w:val="0"/>
      <w:spacing w:line="336" w:lineRule="auto"/>
      <w:ind w:firstLineChars="200" w:firstLine="560"/>
    </w:pPr>
    <w:rPr>
      <w:rFonts w:eastAsia="仿宋_GB2312"/>
      <w:sz w:val="30"/>
      <w:szCs w:val="30"/>
    </w:rPr>
  </w:style>
  <w:style w:type="paragraph" w:customStyle="1" w:styleId="af">
    <w:name w:val="正文顶格"/>
    <w:basedOn w:val="a0"/>
    <w:qFormat/>
    <w:rsid w:val="003861EF"/>
    <w:pPr>
      <w:ind w:firstLineChars="0" w:firstLine="0"/>
    </w:pPr>
  </w:style>
  <w:style w:type="paragraph" w:customStyle="1" w:styleId="reader-word-layer">
    <w:name w:val="reader-word-layer"/>
    <w:basedOn w:val="a"/>
    <w:qFormat/>
    <w:rsid w:val="003861EF"/>
    <w:pPr>
      <w:widowControl/>
      <w:spacing w:before="100" w:beforeAutospacing="1" w:after="100" w:afterAutospacing="1"/>
      <w:jc w:val="left"/>
    </w:pPr>
    <w:rPr>
      <w:rFonts w:ascii="宋体" w:hAnsi="宋体" w:cs="宋体"/>
      <w:color w:val="auto"/>
      <w:sz w:val="24"/>
      <w:szCs w:val="24"/>
    </w:rPr>
  </w:style>
  <w:style w:type="character" w:customStyle="1" w:styleId="Char3">
    <w:name w:val="批注框文本 Char"/>
    <w:basedOn w:val="a1"/>
    <w:link w:val="a7"/>
    <w:uiPriority w:val="99"/>
    <w:semiHidden/>
    <w:qFormat/>
    <w:rsid w:val="003861EF"/>
    <w:rPr>
      <w:rFonts w:ascii="Times New Roman" w:eastAsia="宋体" w:hAnsi="Times New Roman" w:cs="Times New Roman"/>
      <w:color w:val="000000"/>
      <w:kern w:val="0"/>
      <w:sz w:val="18"/>
      <w:szCs w:val="18"/>
    </w:rPr>
  </w:style>
  <w:style w:type="character" w:customStyle="1" w:styleId="Char5">
    <w:name w:val="页眉 Char"/>
    <w:basedOn w:val="a1"/>
    <w:link w:val="a9"/>
    <w:uiPriority w:val="99"/>
    <w:qFormat/>
    <w:rsid w:val="003861EF"/>
    <w:rPr>
      <w:rFonts w:ascii="Times New Roman" w:eastAsia="宋体" w:hAnsi="Times New Roman" w:cs="Times New Roman"/>
      <w:color w:val="000000"/>
      <w:kern w:val="0"/>
      <w:sz w:val="18"/>
      <w:szCs w:val="18"/>
    </w:rPr>
  </w:style>
  <w:style w:type="character" w:customStyle="1" w:styleId="Char4">
    <w:name w:val="页脚 Char"/>
    <w:basedOn w:val="a1"/>
    <w:link w:val="a8"/>
    <w:uiPriority w:val="99"/>
    <w:qFormat/>
    <w:rsid w:val="003861EF"/>
    <w:rPr>
      <w:rFonts w:ascii="Times New Roman" w:eastAsia="宋体" w:hAnsi="Times New Roman" w:cs="Times New Roman"/>
      <w:color w:val="000000"/>
      <w:kern w:val="0"/>
      <w:sz w:val="18"/>
      <w:szCs w:val="18"/>
    </w:rPr>
  </w:style>
  <w:style w:type="character" w:customStyle="1" w:styleId="Char6">
    <w:name w:val="副标题 Char"/>
    <w:basedOn w:val="a1"/>
    <w:link w:val="aa"/>
    <w:qFormat/>
    <w:rsid w:val="003861EF"/>
    <w:rPr>
      <w:rFonts w:ascii="Times New Roman" w:eastAsia="楷体_GB2312" w:hAnsi="Times New Roman" w:cs="Arial"/>
      <w:bCs/>
      <w:color w:val="000000"/>
      <w:kern w:val="28"/>
      <w:sz w:val="32"/>
      <w:szCs w:val="36"/>
    </w:rPr>
  </w:style>
  <w:style w:type="character" w:customStyle="1" w:styleId="Char">
    <w:name w:val="批注文字 Char"/>
    <w:basedOn w:val="a1"/>
    <w:link w:val="a4"/>
    <w:uiPriority w:val="99"/>
    <w:semiHidden/>
    <w:qFormat/>
    <w:rsid w:val="003861EF"/>
    <w:rPr>
      <w:rFonts w:ascii="Times New Roman" w:eastAsia="宋体" w:hAnsi="Times New Roman" w:cs="Times New Roman"/>
      <w:color w:val="000000"/>
      <w:kern w:val="0"/>
      <w:szCs w:val="21"/>
    </w:rPr>
  </w:style>
  <w:style w:type="character" w:customStyle="1" w:styleId="Char7">
    <w:name w:val="批注主题 Char"/>
    <w:basedOn w:val="Char"/>
    <w:link w:val="ac"/>
    <w:uiPriority w:val="99"/>
    <w:semiHidden/>
    <w:qFormat/>
    <w:rsid w:val="003861EF"/>
    <w:rPr>
      <w:rFonts w:ascii="Times New Roman" w:eastAsia="宋体" w:hAnsi="Times New Roman" w:cs="Times New Roman"/>
      <w:b/>
      <w:bCs/>
      <w:color w:val="000000"/>
      <w:kern w:val="0"/>
      <w:szCs w:val="21"/>
    </w:rPr>
  </w:style>
  <w:style w:type="character" w:customStyle="1" w:styleId="Char2">
    <w:name w:val="正文文本缩进 Char"/>
    <w:basedOn w:val="a1"/>
    <w:link w:val="a6"/>
    <w:uiPriority w:val="99"/>
    <w:semiHidden/>
    <w:qFormat/>
    <w:rsid w:val="003861EF"/>
    <w:rPr>
      <w:rFonts w:ascii="Times New Roman" w:eastAsia="宋体" w:hAnsi="Times New Roman" w:cs="Times New Roman"/>
      <w:color w:val="000000"/>
      <w:kern w:val="0"/>
      <w:szCs w:val="21"/>
    </w:rPr>
  </w:style>
  <w:style w:type="paragraph" w:customStyle="1" w:styleId="10">
    <w:name w:val="修订1"/>
    <w:hidden/>
    <w:uiPriority w:val="99"/>
    <w:semiHidden/>
    <w:qFormat/>
    <w:rsid w:val="003861EF"/>
    <w:rPr>
      <w:color w:val="000000"/>
      <w:sz w:val="21"/>
      <w:szCs w:val="21"/>
    </w:rPr>
  </w:style>
  <w:style w:type="paragraph" w:customStyle="1" w:styleId="p0">
    <w:name w:val="p0"/>
    <w:basedOn w:val="a"/>
    <w:qFormat/>
    <w:rsid w:val="003861EF"/>
    <w:pPr>
      <w:widowControl/>
      <w:spacing w:before="100" w:beforeAutospacing="1" w:after="100" w:afterAutospacing="1"/>
      <w:jc w:val="left"/>
    </w:pPr>
    <w:rPr>
      <w:rFonts w:ascii="宋体" w:hAnsi="宋体" w:cs="宋体"/>
      <w:color w:val="auto"/>
      <w:sz w:val="24"/>
      <w:szCs w:val="24"/>
    </w:rPr>
  </w:style>
  <w:style w:type="paragraph" w:customStyle="1" w:styleId="af0">
    <w:name w:val="文章正文"/>
    <w:basedOn w:val="a"/>
    <w:qFormat/>
    <w:rsid w:val="003861EF"/>
    <w:pPr>
      <w:widowControl/>
      <w:spacing w:line="540" w:lineRule="exact"/>
      <w:ind w:firstLineChars="200" w:firstLine="600"/>
    </w:pPr>
    <w:rPr>
      <w:rFonts w:ascii="仿宋_GB2312" w:eastAsia="仿宋_GB2312" w:hAnsi="Calibri" w:cs="宋体"/>
      <w:color w:val="auto"/>
      <w:sz w:val="30"/>
      <w:szCs w:val="20"/>
      <w:lang w:eastAsia="en-US" w:bidi="en-US"/>
    </w:rPr>
  </w:style>
  <w:style w:type="paragraph" w:customStyle="1" w:styleId="11">
    <w:name w:val="列出段落1"/>
    <w:basedOn w:val="a"/>
    <w:qFormat/>
    <w:rsid w:val="003861EF"/>
    <w:pPr>
      <w:ind w:firstLineChars="200" w:firstLine="420"/>
    </w:pPr>
    <w:rPr>
      <w:rFonts w:ascii="Calibri" w:hAnsi="Calibri"/>
      <w:color w:val="auto"/>
      <w:kern w:val="2"/>
      <w:szCs w:val="22"/>
    </w:rPr>
  </w:style>
  <w:style w:type="paragraph" w:styleId="af1">
    <w:name w:val="List Paragraph"/>
    <w:basedOn w:val="a"/>
    <w:uiPriority w:val="34"/>
    <w:qFormat/>
    <w:rsid w:val="003861EF"/>
    <w:pPr>
      <w:ind w:firstLineChars="200" w:firstLine="420"/>
    </w:pPr>
    <w:rPr>
      <w:rFonts w:ascii="Calibri" w:hAnsi="Calibri"/>
      <w:color w:val="auto"/>
      <w:kern w:val="2"/>
      <w:szCs w:val="22"/>
    </w:rPr>
  </w:style>
  <w:style w:type="paragraph" w:customStyle="1" w:styleId="Style39">
    <w:name w:val="_Style 39"/>
    <w:basedOn w:val="a"/>
    <w:next w:val="a0"/>
    <w:link w:val="Char8"/>
    <w:qFormat/>
    <w:rsid w:val="003861EF"/>
    <w:pPr>
      <w:snapToGrid w:val="0"/>
      <w:spacing w:line="336" w:lineRule="auto"/>
      <w:ind w:firstLineChars="200" w:firstLine="200"/>
    </w:pPr>
    <w:rPr>
      <w:rFonts w:eastAsia="仿宋_GB2312"/>
      <w:sz w:val="32"/>
      <w:szCs w:val="32"/>
    </w:rPr>
  </w:style>
  <w:style w:type="character" w:customStyle="1" w:styleId="Char8">
    <w:name w:val="正文首行缩进 Char"/>
    <w:basedOn w:val="a1"/>
    <w:link w:val="Style39"/>
    <w:qFormat/>
    <w:rsid w:val="003861EF"/>
    <w:rPr>
      <w:rFonts w:eastAsia="仿宋_GB2312"/>
      <w:color w:val="000000"/>
      <w:sz w:val="32"/>
      <w:szCs w:val="32"/>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E5C2B-9EF6-4176-A090-B7BADCF75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32</Pages>
  <Words>2345</Words>
  <Characters>13368</Characters>
  <Application>Microsoft Office Word</Application>
  <DocSecurity>0</DocSecurity>
  <Lines>111</Lines>
  <Paragraphs>31</Paragraphs>
  <ScaleCrop>false</ScaleCrop>
  <Company>China</Company>
  <LinksUpToDate>false</LinksUpToDate>
  <CharactersWithSpaces>15682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成霞</dc:creator>
  <cp:lastModifiedBy>陈超（女）</cp:lastModifiedBy>
  <cp:revision>8</cp:revision>
  <cp:lastPrinted>2022-04-16T10:38:00Z</cp:lastPrinted>
  <dcterms:created xsi:type="dcterms:W3CDTF">2022-02-25T01:24:00Z</dcterms:created>
  <dcterms:modified xsi:type="dcterms:W3CDTF">2022-04-16T11:02:00Z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9A5D782A061F48DEADF635ABC53C10AC</vt:lpwstr>
  </property>
</Properties>
</file>