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B3D" w:rsidRDefault="00631B3D" w:rsidP="00631B3D">
      <w:pPr>
        <w:spacing w:line="560" w:lineRule="exact"/>
        <w:jc w:val="left"/>
        <w:rPr>
          <w:rFonts w:ascii="黑体" w:eastAsia="黑体" w:hAnsi="黑体" w:cs="黑体"/>
          <w:b/>
          <w:kern w:val="0"/>
          <w:sz w:val="32"/>
          <w:szCs w:val="32"/>
        </w:rPr>
      </w:pPr>
      <w:r>
        <w:rPr>
          <w:rFonts w:ascii="黑体" w:eastAsia="黑体" w:hAnsi="黑体" w:cs="黑体" w:hint="eastAsia"/>
          <w:b/>
          <w:kern w:val="0"/>
          <w:sz w:val="32"/>
          <w:szCs w:val="32"/>
        </w:rPr>
        <w:t>2021年度股东大会会议材料十三                  商密A</w:t>
      </w:r>
    </w:p>
    <w:p w:rsidR="00E2499D" w:rsidRPr="00631B3D" w:rsidRDefault="00E2499D" w:rsidP="00042E04">
      <w:pPr>
        <w:spacing w:line="600" w:lineRule="exact"/>
        <w:jc w:val="center"/>
        <w:rPr>
          <w:rFonts w:ascii="方正小标宋简体" w:eastAsia="方正小标宋简体" w:hAnsiTheme="minorEastAsia"/>
          <w:kern w:val="0"/>
          <w:sz w:val="44"/>
          <w:szCs w:val="44"/>
        </w:rPr>
      </w:pPr>
    </w:p>
    <w:p w:rsidR="00A843C5" w:rsidRDefault="00A843C5" w:rsidP="00042E04">
      <w:pPr>
        <w:spacing w:line="600" w:lineRule="exact"/>
        <w:jc w:val="center"/>
        <w:rPr>
          <w:rFonts w:ascii="方正小标宋简体" w:eastAsia="方正小标宋简体" w:hAnsiTheme="minorEastAsia"/>
          <w:kern w:val="0"/>
          <w:sz w:val="44"/>
          <w:szCs w:val="44"/>
        </w:rPr>
      </w:pPr>
      <w:r>
        <w:rPr>
          <w:rFonts w:ascii="方正小标宋简体" w:eastAsia="方正小标宋简体" w:hAnsiTheme="minorEastAsia" w:hint="eastAsia"/>
          <w:kern w:val="0"/>
          <w:sz w:val="44"/>
          <w:szCs w:val="44"/>
        </w:rPr>
        <w:t>江苏扬州农村商业银行股份有限公司</w:t>
      </w:r>
    </w:p>
    <w:p w:rsidR="00D54F8E" w:rsidRPr="007A7363" w:rsidRDefault="00D54F8E" w:rsidP="00A843C5">
      <w:pPr>
        <w:spacing w:line="600" w:lineRule="exact"/>
        <w:jc w:val="center"/>
        <w:rPr>
          <w:rFonts w:ascii="方正小标宋简体" w:eastAsia="方正小标宋简体" w:hAnsiTheme="minorEastAsia"/>
          <w:kern w:val="0"/>
          <w:sz w:val="44"/>
          <w:szCs w:val="44"/>
        </w:rPr>
      </w:pPr>
      <w:r w:rsidRPr="007A7363">
        <w:rPr>
          <w:rFonts w:ascii="方正小标宋简体" w:eastAsia="方正小标宋简体" w:hAnsiTheme="minorEastAsia" w:hint="eastAsia"/>
          <w:kern w:val="0"/>
          <w:sz w:val="44"/>
          <w:szCs w:val="44"/>
        </w:rPr>
        <w:t>关于修订</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江苏扬州农村商业银行</w:t>
      </w:r>
      <w:r w:rsidR="007A7363">
        <w:rPr>
          <w:rFonts w:ascii="方正小标宋简体" w:eastAsia="方正小标宋简体" w:hAnsiTheme="minorEastAsia" w:hint="eastAsia"/>
          <w:kern w:val="0"/>
          <w:sz w:val="44"/>
          <w:szCs w:val="44"/>
        </w:rPr>
        <w:t>股份有限公司</w:t>
      </w:r>
      <w:r w:rsidR="00F779BC" w:rsidRPr="00F779BC">
        <w:rPr>
          <w:rFonts w:ascii="方正小标宋简体" w:eastAsia="方正小标宋简体" w:hAnsiTheme="minorEastAsia" w:hint="eastAsia"/>
          <w:kern w:val="0"/>
          <w:sz w:val="44"/>
          <w:szCs w:val="44"/>
        </w:rPr>
        <w:t>股权管理办法</w:t>
      </w:r>
      <w:r w:rsidR="007A7363">
        <w:rPr>
          <w:rFonts w:ascii="方正小标宋简体" w:eastAsia="方正小标宋简体" w:hAnsiTheme="minorEastAsia" w:hint="eastAsia"/>
          <w:kern w:val="0"/>
          <w:sz w:val="44"/>
          <w:szCs w:val="44"/>
        </w:rPr>
        <w:t>》</w:t>
      </w:r>
      <w:r w:rsidRPr="007A7363">
        <w:rPr>
          <w:rFonts w:ascii="方正小标宋简体" w:eastAsia="方正小标宋简体" w:hAnsiTheme="minorEastAsia" w:hint="eastAsia"/>
          <w:kern w:val="0"/>
          <w:sz w:val="44"/>
          <w:szCs w:val="44"/>
        </w:rPr>
        <w:t>的议案</w:t>
      </w:r>
    </w:p>
    <w:p w:rsidR="00D54F8E" w:rsidRPr="007A7363" w:rsidRDefault="00D54F8E" w:rsidP="00042E04">
      <w:pPr>
        <w:spacing w:line="600" w:lineRule="exact"/>
        <w:rPr>
          <w:rFonts w:ascii="仿宋_GB2312" w:eastAsia="仿宋_GB2312"/>
          <w:kern w:val="0"/>
          <w:sz w:val="30"/>
          <w:szCs w:val="30"/>
        </w:rPr>
      </w:pPr>
    </w:p>
    <w:p w:rsidR="00631B3D" w:rsidRPr="008D1B54" w:rsidRDefault="00631B3D" w:rsidP="00631B3D">
      <w:pPr>
        <w:spacing w:line="580" w:lineRule="exact"/>
        <w:rPr>
          <w:rFonts w:ascii="仿宋_GB2312" w:eastAsia="仿宋_GB2312" w:hAnsi="仿宋"/>
          <w:color w:val="333333"/>
          <w:spacing w:val="5"/>
          <w:sz w:val="32"/>
          <w:szCs w:val="32"/>
        </w:rPr>
      </w:pPr>
      <w:r w:rsidRPr="008D1B54">
        <w:rPr>
          <w:rFonts w:ascii="仿宋_GB2312" w:eastAsia="仿宋_GB2312" w:hAnsi="仿宋" w:hint="eastAsia"/>
          <w:color w:val="333333"/>
          <w:spacing w:val="5"/>
          <w:sz w:val="32"/>
          <w:szCs w:val="32"/>
        </w:rPr>
        <w:t>各位股东</w:t>
      </w:r>
      <w:r>
        <w:rPr>
          <w:rFonts w:ascii="仿宋_GB2312" w:eastAsia="仿宋_GB2312" w:hAnsi="仿宋" w:hint="eastAsia"/>
          <w:color w:val="333333"/>
          <w:spacing w:val="5"/>
          <w:sz w:val="32"/>
          <w:szCs w:val="32"/>
        </w:rPr>
        <w:t>、代理人</w:t>
      </w:r>
      <w:r w:rsidRPr="008D1B54">
        <w:rPr>
          <w:rFonts w:ascii="仿宋_GB2312" w:eastAsia="仿宋_GB2312" w:hAnsi="仿宋" w:hint="eastAsia"/>
          <w:color w:val="333333"/>
          <w:spacing w:val="5"/>
          <w:sz w:val="32"/>
          <w:szCs w:val="32"/>
        </w:rPr>
        <w:t>：</w:t>
      </w:r>
    </w:p>
    <w:p w:rsidR="00862908" w:rsidRPr="00631B3D" w:rsidRDefault="00D54F8E" w:rsidP="00631B3D">
      <w:pPr>
        <w:spacing w:line="560" w:lineRule="exact"/>
        <w:ind w:firstLineChars="192" w:firstLine="614"/>
        <w:rPr>
          <w:rFonts w:ascii="仿宋_GB2312" w:eastAsia="仿宋_GB2312"/>
          <w:kern w:val="0"/>
          <w:sz w:val="32"/>
          <w:szCs w:val="32"/>
        </w:rPr>
      </w:pPr>
      <w:r w:rsidRPr="00631B3D">
        <w:rPr>
          <w:rFonts w:ascii="仿宋_GB2312" w:eastAsia="仿宋_GB2312" w:hint="eastAsia"/>
          <w:kern w:val="0"/>
          <w:sz w:val="32"/>
          <w:szCs w:val="32"/>
        </w:rPr>
        <w:t>根据</w:t>
      </w:r>
      <w:r w:rsidR="00F779BC" w:rsidRPr="00631B3D">
        <w:rPr>
          <w:rFonts w:ascii="仿宋_GB2312" w:eastAsia="仿宋_GB2312" w:hint="eastAsia"/>
          <w:kern w:val="0"/>
          <w:sz w:val="32"/>
          <w:szCs w:val="32"/>
        </w:rPr>
        <w:t>《中华人民共和国公司法》、《中华人民共和国商业银行法》、《商业银行股权管理暂行办法》（银保监会令〔2018〕1号）、《中国银保监会关于加强商业银行股权质押管理的通知》（银监发〔2013〕43号）和《中国银保监会农村中小金融机构行政许可事项实施办法》（银保监会令〔2019〕9号）以及</w:t>
      </w:r>
      <w:r w:rsidR="009273E2" w:rsidRPr="00631B3D">
        <w:rPr>
          <w:rFonts w:ascii="仿宋_GB2312" w:eastAsia="仿宋_GB2312" w:hint="eastAsia"/>
          <w:kern w:val="0"/>
          <w:sz w:val="32"/>
          <w:szCs w:val="32"/>
        </w:rPr>
        <w:t>本行章程</w:t>
      </w:r>
      <w:r w:rsidRPr="00631B3D">
        <w:rPr>
          <w:rFonts w:ascii="仿宋_GB2312" w:eastAsia="仿宋_GB2312" w:hint="eastAsia"/>
          <w:kern w:val="0"/>
          <w:sz w:val="32"/>
          <w:szCs w:val="32"/>
        </w:rPr>
        <w:t>等相关法律、法规规定，拟对本行</w:t>
      </w:r>
      <w:r w:rsidR="009273E2" w:rsidRPr="00631B3D">
        <w:rPr>
          <w:rFonts w:ascii="仿宋_GB2312" w:eastAsia="仿宋_GB2312" w:hint="eastAsia"/>
          <w:kern w:val="0"/>
          <w:sz w:val="32"/>
          <w:szCs w:val="32"/>
        </w:rPr>
        <w:t>《江苏扬州农村商业银行股份有限公司</w:t>
      </w:r>
      <w:r w:rsidR="00F779BC" w:rsidRPr="00631B3D">
        <w:rPr>
          <w:rFonts w:ascii="仿宋_GB2312" w:eastAsia="仿宋_GB2312" w:hint="eastAsia"/>
          <w:kern w:val="0"/>
          <w:sz w:val="32"/>
          <w:szCs w:val="32"/>
        </w:rPr>
        <w:t>股权管理办法</w:t>
      </w:r>
      <w:r w:rsidR="009273E2" w:rsidRPr="00631B3D">
        <w:rPr>
          <w:rFonts w:ascii="仿宋_GB2312" w:eastAsia="仿宋_GB2312" w:hint="eastAsia"/>
          <w:kern w:val="0"/>
          <w:sz w:val="32"/>
          <w:szCs w:val="32"/>
        </w:rPr>
        <w:t>》</w:t>
      </w:r>
      <w:r w:rsidRPr="00631B3D">
        <w:rPr>
          <w:rFonts w:ascii="仿宋_GB2312" w:eastAsia="仿宋_GB2312" w:hint="eastAsia"/>
          <w:kern w:val="0"/>
          <w:sz w:val="32"/>
          <w:szCs w:val="32"/>
        </w:rPr>
        <w:t>进行修订</w:t>
      </w:r>
      <w:r w:rsidR="00194B19" w:rsidRPr="00631B3D">
        <w:rPr>
          <w:rFonts w:ascii="仿宋_GB2312" w:eastAsia="仿宋_GB2312" w:hint="eastAsia"/>
          <w:kern w:val="0"/>
          <w:sz w:val="32"/>
          <w:szCs w:val="32"/>
        </w:rPr>
        <w:t>，</w:t>
      </w:r>
      <w:r w:rsidR="00862908" w:rsidRPr="00631B3D">
        <w:rPr>
          <w:rFonts w:ascii="仿宋_GB2312" w:eastAsia="仿宋_GB2312" w:hint="eastAsia"/>
          <w:kern w:val="0"/>
          <w:sz w:val="32"/>
          <w:szCs w:val="32"/>
        </w:rPr>
        <w:t>其主要修订情况如下表所示，请予审议。</w:t>
      </w:r>
    </w:p>
    <w:p w:rsidR="00862908" w:rsidRPr="00631B3D" w:rsidRDefault="00862908" w:rsidP="00631B3D">
      <w:pPr>
        <w:spacing w:line="560" w:lineRule="exact"/>
        <w:ind w:firstLineChars="192" w:firstLine="614"/>
        <w:rPr>
          <w:rFonts w:ascii="仿宋_GB2312" w:eastAsia="仿宋_GB2312"/>
          <w:kern w:val="0"/>
          <w:sz w:val="32"/>
          <w:szCs w:val="32"/>
        </w:rPr>
      </w:pPr>
    </w:p>
    <w:p w:rsidR="00631B3D" w:rsidRDefault="00631B3D" w:rsidP="00631B3D">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提案人：扬州农商行第四届董事会</w:t>
      </w:r>
    </w:p>
    <w:p w:rsidR="00631B3D" w:rsidRPr="00B060FA" w:rsidRDefault="00631B3D" w:rsidP="00631B3D">
      <w:pPr>
        <w:spacing w:line="560" w:lineRule="exact"/>
        <w:ind w:firstLineChars="200" w:firstLine="640"/>
        <w:jc w:val="right"/>
        <w:rPr>
          <w:rFonts w:ascii="仿宋_GB2312" w:eastAsia="仿宋_GB2312"/>
          <w:sz w:val="32"/>
          <w:szCs w:val="32"/>
        </w:rPr>
      </w:pPr>
      <w:r>
        <w:rPr>
          <w:rFonts w:ascii="仿宋_GB2312" w:eastAsia="仿宋_GB2312" w:hint="eastAsia"/>
          <w:sz w:val="32"/>
          <w:szCs w:val="32"/>
        </w:rPr>
        <w:t>2022年4月</w:t>
      </w:r>
      <w:r w:rsidR="00D039D2">
        <w:rPr>
          <w:rFonts w:ascii="仿宋_GB2312" w:eastAsia="仿宋_GB2312" w:hint="eastAsia"/>
          <w:sz w:val="32"/>
          <w:szCs w:val="32"/>
        </w:rPr>
        <w:t>27</w:t>
      </w:r>
      <w:r>
        <w:rPr>
          <w:rFonts w:ascii="仿宋_GB2312" w:eastAsia="仿宋_GB2312" w:hint="eastAsia"/>
          <w:sz w:val="32"/>
          <w:szCs w:val="32"/>
        </w:rPr>
        <w:t>日</w:t>
      </w:r>
    </w:p>
    <w:p w:rsidR="00631B3D" w:rsidRPr="001C263F" w:rsidRDefault="00631B3D" w:rsidP="00631B3D">
      <w:pPr>
        <w:ind w:firstLineChars="200" w:firstLine="420"/>
      </w:pPr>
    </w:p>
    <w:p w:rsidR="00631B3D" w:rsidRPr="00BB3F8B" w:rsidRDefault="00631B3D" w:rsidP="00631B3D"/>
    <w:p w:rsidR="00862908" w:rsidRPr="00631B3D" w:rsidRDefault="00862908" w:rsidP="00631B3D">
      <w:pPr>
        <w:spacing w:line="560" w:lineRule="exact"/>
        <w:ind w:firstLineChars="192" w:firstLine="614"/>
        <w:jc w:val="right"/>
        <w:rPr>
          <w:rFonts w:ascii="仿宋_GB2312" w:eastAsia="仿宋_GB2312"/>
          <w:kern w:val="0"/>
          <w:sz w:val="32"/>
          <w:szCs w:val="32"/>
        </w:rPr>
      </w:pPr>
    </w:p>
    <w:p w:rsidR="00862908" w:rsidRPr="00631B3D" w:rsidRDefault="00862908" w:rsidP="00631B3D">
      <w:pPr>
        <w:spacing w:line="560" w:lineRule="exact"/>
        <w:ind w:firstLineChars="192" w:firstLine="614"/>
        <w:jc w:val="right"/>
        <w:rPr>
          <w:rFonts w:ascii="仿宋_GB2312" w:eastAsia="仿宋_GB2312"/>
          <w:kern w:val="0"/>
          <w:sz w:val="32"/>
          <w:szCs w:val="32"/>
        </w:rPr>
      </w:pPr>
    </w:p>
    <w:p w:rsidR="00862908" w:rsidRDefault="00862908" w:rsidP="00862908">
      <w:pPr>
        <w:spacing w:line="560" w:lineRule="exact"/>
        <w:ind w:firstLineChars="192" w:firstLine="576"/>
        <w:jc w:val="right"/>
        <w:rPr>
          <w:rFonts w:ascii="仿宋_GB2312" w:eastAsia="仿宋_GB2312"/>
          <w:kern w:val="0"/>
          <w:sz w:val="30"/>
          <w:szCs w:val="30"/>
        </w:rPr>
      </w:pPr>
    </w:p>
    <w:p w:rsidR="00862908" w:rsidRPr="00DF14F7" w:rsidRDefault="00862908" w:rsidP="00631B3D">
      <w:pPr>
        <w:spacing w:line="560" w:lineRule="exact"/>
        <w:ind w:right="600"/>
        <w:rPr>
          <w:rFonts w:ascii="仿宋_GB2312" w:eastAsia="仿宋_GB2312"/>
          <w:kern w:val="0"/>
          <w:sz w:val="30"/>
          <w:szCs w:val="30"/>
        </w:rPr>
      </w:pPr>
    </w:p>
    <w:p w:rsidR="00862908" w:rsidRPr="00DF14F7" w:rsidRDefault="00862908" w:rsidP="00862908">
      <w:pPr>
        <w:spacing w:line="560" w:lineRule="exact"/>
        <w:ind w:firstLineChars="192" w:firstLine="576"/>
        <w:jc w:val="right"/>
        <w:rPr>
          <w:rFonts w:ascii="仿宋_GB2312" w:eastAsia="仿宋_GB2312"/>
          <w:kern w:val="0"/>
          <w:sz w:val="30"/>
          <w:szCs w:val="30"/>
        </w:rPr>
        <w:sectPr w:rsidR="00862908" w:rsidRPr="00DF14F7" w:rsidSect="00890C6B">
          <w:footerReference w:type="default" r:id="rId6"/>
          <w:pgSz w:w="11906" w:h="16838"/>
          <w:pgMar w:top="1440" w:right="1800" w:bottom="1440" w:left="1800" w:header="851" w:footer="992" w:gutter="0"/>
          <w:cols w:space="425"/>
          <w:docGrid w:type="lines" w:linePitch="312"/>
        </w:sectPr>
      </w:pPr>
    </w:p>
    <w:p w:rsidR="008C3BBC" w:rsidRPr="00862908" w:rsidRDefault="008C3BBC" w:rsidP="008C3BBC">
      <w:pPr>
        <w:spacing w:line="560" w:lineRule="exact"/>
        <w:ind w:firstLineChars="192" w:firstLine="576"/>
        <w:rPr>
          <w:rFonts w:ascii="仿宋_GB2312" w:eastAsia="仿宋_GB2312"/>
          <w:kern w:val="0"/>
          <w:sz w:val="30"/>
          <w:szCs w:val="30"/>
        </w:rPr>
      </w:pPr>
    </w:p>
    <w:tbl>
      <w:tblPr>
        <w:tblW w:w="5000" w:type="pct"/>
        <w:tblLook w:val="04A0"/>
      </w:tblPr>
      <w:tblGrid>
        <w:gridCol w:w="6265"/>
        <w:gridCol w:w="6358"/>
        <w:gridCol w:w="1551"/>
      </w:tblGrid>
      <w:tr w:rsidR="0062587D" w:rsidRPr="0062587D" w:rsidTr="0062587D">
        <w:trPr>
          <w:trHeight w:val="570"/>
        </w:trPr>
        <w:tc>
          <w:tcPr>
            <w:tcW w:w="22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center"/>
              <w:rPr>
                <w:rFonts w:ascii="宋体" w:hAnsi="宋体" w:cs="宋体"/>
                <w:b/>
                <w:bCs/>
                <w:color w:val="000000"/>
                <w:kern w:val="0"/>
                <w:sz w:val="22"/>
                <w:szCs w:val="22"/>
              </w:rPr>
            </w:pPr>
            <w:r w:rsidRPr="0062587D">
              <w:rPr>
                <w:rFonts w:ascii="宋体" w:hAnsi="宋体" w:cs="宋体" w:hint="eastAsia"/>
                <w:b/>
                <w:bCs/>
                <w:color w:val="000000"/>
                <w:kern w:val="0"/>
                <w:sz w:val="22"/>
                <w:szCs w:val="22"/>
              </w:rPr>
              <w:t>原条款</w:t>
            </w:r>
          </w:p>
        </w:tc>
        <w:tc>
          <w:tcPr>
            <w:tcW w:w="2243" w:type="pct"/>
            <w:tcBorders>
              <w:top w:val="single" w:sz="4" w:space="0" w:color="auto"/>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center"/>
              <w:rPr>
                <w:rFonts w:ascii="宋体" w:hAnsi="宋体" w:cs="宋体"/>
                <w:b/>
                <w:bCs/>
                <w:color w:val="000000"/>
                <w:kern w:val="0"/>
                <w:sz w:val="22"/>
                <w:szCs w:val="22"/>
              </w:rPr>
            </w:pPr>
            <w:r w:rsidRPr="0062587D">
              <w:rPr>
                <w:rFonts w:ascii="宋体" w:hAnsi="宋体" w:cs="宋体" w:hint="eastAsia"/>
                <w:b/>
                <w:bCs/>
                <w:color w:val="000000"/>
                <w:kern w:val="0"/>
                <w:sz w:val="22"/>
                <w:szCs w:val="22"/>
              </w:rPr>
              <w:t>修订条款</w:t>
            </w:r>
          </w:p>
        </w:tc>
        <w:tc>
          <w:tcPr>
            <w:tcW w:w="547" w:type="pct"/>
            <w:tcBorders>
              <w:top w:val="single" w:sz="4" w:space="0" w:color="auto"/>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center"/>
              <w:rPr>
                <w:rFonts w:ascii="宋体" w:hAnsi="宋体" w:cs="宋体"/>
                <w:b/>
                <w:bCs/>
                <w:color w:val="000000"/>
                <w:kern w:val="0"/>
                <w:sz w:val="22"/>
                <w:szCs w:val="22"/>
              </w:rPr>
            </w:pPr>
            <w:r w:rsidRPr="0062587D">
              <w:rPr>
                <w:rFonts w:ascii="宋体" w:hAnsi="宋体" w:cs="宋体" w:hint="eastAsia"/>
                <w:b/>
                <w:bCs/>
                <w:color w:val="000000"/>
                <w:kern w:val="0"/>
                <w:sz w:val="22"/>
                <w:szCs w:val="22"/>
              </w:rPr>
              <w:t>修订依据</w:t>
            </w:r>
          </w:p>
        </w:tc>
      </w:tr>
      <w:tr w:rsidR="0062587D" w:rsidRPr="0062587D" w:rsidTr="0062587D">
        <w:trPr>
          <w:trHeight w:val="243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第一条  为进一步加强江苏扬州农村商业银行股份有限公司（以下简称“本行”）的股权管理，规范股本金募集、登记、托管、质押、转让和重大信息报告等事项，根据《中华人民共和国公司法》、《中华人民共和国商业银行法》、《商业银行股权管理暂行办法》（银保监会令〔2018〕1号）、《中国银保监会关于加强商业银行股权质押管理的通知》（银监发〔2013〕43号）和《中国银保监会农村中小金融机构行政许可事项实施办法》（银保监会令〔2015〕3号）等有关文件精神及本行章程规定，制定本办法。</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第一条  为进一步加强江苏扬州农村商业银行股份有限公司（以下简称“本行”）的股权管理，规范股本金募集、登记、托管、质押、转让和重大信息报告等事项，根据《中华人民共和国公司法》、《中华人民共和国商业银行法》、《商业银行股权管理暂行办法》（银保监会令〔2018〕1号）、《中国银保监会关于加强商业银行股权质押管理的通知》（银监发〔2013〕43号）和《中国银保监会农村中小金融机构行政许可事项实施办法》</w:t>
            </w:r>
            <w:r w:rsidRPr="0062587D">
              <w:rPr>
                <w:rFonts w:ascii="宋体" w:hAnsi="宋体" w:cs="宋体" w:hint="eastAsia"/>
                <w:color w:val="FF0000"/>
                <w:kern w:val="0"/>
                <w:sz w:val="22"/>
                <w:szCs w:val="22"/>
              </w:rPr>
              <w:t>（银保监会令〔2019〕9号）</w:t>
            </w:r>
            <w:r w:rsidRPr="0062587D">
              <w:rPr>
                <w:rFonts w:ascii="宋体" w:hAnsi="宋体" w:cs="宋体" w:hint="eastAsia"/>
                <w:color w:val="000000"/>
                <w:kern w:val="0"/>
                <w:sz w:val="22"/>
                <w:szCs w:val="22"/>
              </w:rPr>
              <w:t>等有关文件精神及本行章程规定，制定本办法。</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制度更新</w:t>
            </w:r>
          </w:p>
        </w:tc>
      </w:tr>
      <w:tr w:rsidR="0062587D" w:rsidRPr="0062587D" w:rsidTr="0062587D">
        <w:trPr>
          <w:trHeight w:val="983"/>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第五条  本行股权管理主要工作职责与要求</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七）对主要股东或其控股股东、实际控制人、关联方、一致行动人、最终受益人等单个主体的授信余额不得超过本行资本净额的百分之十。本行对单个主要股东及其控股股东、实际控制人、关联方、一致行动人、最终受益人的合计授信余额不得超过商业银行资本净额的百分之十五。</w:t>
            </w:r>
            <w:r w:rsidRPr="0062587D">
              <w:rPr>
                <w:rFonts w:ascii="宋体" w:hAnsi="宋体" w:cs="宋体" w:hint="eastAsia"/>
                <w:color w:val="000000"/>
                <w:kern w:val="0"/>
                <w:sz w:val="22"/>
                <w:szCs w:val="22"/>
              </w:rPr>
              <w:br/>
              <w:t>前款中的授信，包括贷款（含贸易融资）、票据承兑和贴现、透支、债券投资、特定目的载体投资、开立信用证、保理、担保、贷款承诺，以及其他实质上由本行或本行发行的理财产品承担信用风险的业务。其中，本行应当按照穿透原则确认最终债务人。</w:t>
            </w:r>
            <w:r w:rsidRPr="0062587D">
              <w:rPr>
                <w:rFonts w:ascii="宋体" w:hAnsi="宋体" w:cs="宋体" w:hint="eastAsia"/>
                <w:color w:val="000000"/>
                <w:kern w:val="0"/>
                <w:sz w:val="22"/>
                <w:szCs w:val="22"/>
              </w:rPr>
              <w:br/>
              <w:t>本行的主要股东或其控股股东、实际控制人、关联方、一致行</w:t>
            </w:r>
            <w:r w:rsidRPr="0062587D">
              <w:rPr>
                <w:rFonts w:ascii="宋体" w:hAnsi="宋体" w:cs="宋体" w:hint="eastAsia"/>
                <w:color w:val="000000"/>
                <w:kern w:val="0"/>
                <w:sz w:val="22"/>
                <w:szCs w:val="22"/>
              </w:rPr>
              <w:lastRenderedPageBreak/>
              <w:t>动人、最终受益人等为金融机构的，本行与其开展同业业务时，应当遵守法律法规和相关监管部门关于同业业务的相关规定。</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lastRenderedPageBreak/>
              <w:t>第五条  本行股权管理主要工作职责与要求</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（七）对主要股东或其控股股东、实际控制人、关联方、一致行动人、最终受益人等单个主体的授信余额不得超过本行上季末资本净额的百分之十。</w:t>
            </w:r>
            <w:r w:rsidRPr="0062587D">
              <w:rPr>
                <w:rFonts w:ascii="宋体" w:hAnsi="宋体" w:cs="宋体" w:hint="eastAsia"/>
                <w:color w:val="FF0000"/>
                <w:kern w:val="0"/>
                <w:sz w:val="22"/>
                <w:szCs w:val="22"/>
              </w:rPr>
              <w:t>本行对单个主要股东所在的集团 客户的合计授信余额不得超过商业银行资本净额的百分之十五。</w:t>
            </w:r>
            <w:r w:rsidRPr="0062587D">
              <w:rPr>
                <w:rFonts w:ascii="宋体" w:hAnsi="宋体" w:cs="宋体" w:hint="eastAsia"/>
                <w:color w:val="000000"/>
                <w:kern w:val="0"/>
                <w:sz w:val="22"/>
                <w:szCs w:val="22"/>
              </w:rPr>
              <w:br/>
              <w:t>前款中的授信，包括贷款（含贸易融资）、票据承兑和贴现、透支、债券投资、特定目的载体投资、开立信用证、保理、担保、贷款承诺、</w:t>
            </w:r>
            <w:r w:rsidRPr="0062587D">
              <w:rPr>
                <w:rFonts w:ascii="宋体" w:hAnsi="宋体" w:cs="宋体" w:hint="eastAsia"/>
                <w:color w:val="FF0000"/>
                <w:kern w:val="0"/>
                <w:sz w:val="22"/>
                <w:szCs w:val="22"/>
              </w:rPr>
              <w:t>保函、证 券回购、拆借以及其他实质上由银行机构承担信用风险的表内外业务。其中，本行应当按照穿透原则确认最终债务人。</w:t>
            </w:r>
            <w:r w:rsidRPr="0062587D">
              <w:rPr>
                <w:rFonts w:ascii="宋体" w:hAnsi="宋体" w:cs="宋体" w:hint="eastAsia"/>
                <w:color w:val="000000"/>
                <w:kern w:val="0"/>
                <w:sz w:val="22"/>
                <w:szCs w:val="22"/>
              </w:rPr>
              <w:br/>
              <w:t>本行的主要股东或其控股股东、实际控制人、关联方、一致行动人、最终受益人等为金融机构的，本行与其开展同业业务时，应</w:t>
            </w:r>
            <w:r w:rsidRPr="0062587D">
              <w:rPr>
                <w:rFonts w:ascii="宋体" w:hAnsi="宋体" w:cs="宋体" w:hint="eastAsia"/>
                <w:color w:val="000000"/>
                <w:kern w:val="0"/>
                <w:sz w:val="22"/>
                <w:szCs w:val="22"/>
              </w:rPr>
              <w:lastRenderedPageBreak/>
              <w:t>当遵守法律法规和相关监管部门关于同业业务的相关规定。</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lastRenderedPageBreak/>
              <w:t>《银行保险机构关联交易与管理办法》第13条</w:t>
            </w:r>
          </w:p>
        </w:tc>
      </w:tr>
      <w:tr w:rsidR="0062587D" w:rsidRPr="0062587D" w:rsidTr="0062587D">
        <w:trPr>
          <w:trHeight w:val="108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lastRenderedPageBreak/>
              <w:t>第六条  本行股权管理部门职责分工</w:t>
            </w:r>
            <w:r w:rsidRPr="0062587D">
              <w:rPr>
                <w:rFonts w:ascii="宋体" w:hAnsi="宋体" w:cs="宋体" w:hint="eastAsia"/>
                <w:color w:val="000000"/>
                <w:kern w:val="0"/>
                <w:sz w:val="22"/>
                <w:szCs w:val="22"/>
              </w:rPr>
              <w:br/>
              <w:t>（一）董事会办公室负责股权管理的日常工作。具体负责股权管理办法制定；</w:t>
            </w:r>
            <w:r w:rsidRPr="0062587D">
              <w:rPr>
                <w:rFonts w:ascii="宋体" w:hAnsi="宋体" w:cs="宋体" w:hint="eastAsia"/>
                <w:color w:val="000000"/>
                <w:kern w:val="0"/>
                <w:sz w:val="22"/>
                <w:szCs w:val="22"/>
              </w:rPr>
              <w:br/>
              <w:t>…</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第六条  本行股权管理部门职责分工</w:t>
            </w:r>
            <w:r w:rsidRPr="0062587D">
              <w:rPr>
                <w:rFonts w:ascii="宋体" w:hAnsi="宋体" w:cs="宋体" w:hint="eastAsia"/>
                <w:color w:val="000000"/>
                <w:kern w:val="0"/>
                <w:sz w:val="22"/>
                <w:szCs w:val="22"/>
              </w:rPr>
              <w:br/>
              <w:t>（一）董事会办公室负责股权管理的日常工作。具体负责</w:t>
            </w:r>
            <w:r w:rsidRPr="0062587D">
              <w:rPr>
                <w:rFonts w:ascii="宋体" w:hAnsi="宋体" w:cs="宋体" w:hint="eastAsia"/>
                <w:color w:val="FF0000"/>
                <w:kern w:val="0"/>
                <w:sz w:val="22"/>
                <w:szCs w:val="22"/>
              </w:rPr>
              <w:t>拟定</w:t>
            </w:r>
            <w:r w:rsidRPr="0062587D">
              <w:rPr>
                <w:rFonts w:ascii="宋体" w:hAnsi="宋体" w:cs="宋体" w:hint="eastAsia"/>
                <w:color w:val="000000"/>
                <w:kern w:val="0"/>
                <w:sz w:val="22"/>
                <w:szCs w:val="22"/>
              </w:rPr>
              <w:t>股权管理办法；</w:t>
            </w:r>
            <w:r w:rsidRPr="0062587D">
              <w:rPr>
                <w:rFonts w:ascii="宋体" w:hAnsi="宋体" w:cs="宋体" w:hint="eastAsia"/>
                <w:color w:val="000000"/>
                <w:kern w:val="0"/>
                <w:sz w:val="22"/>
                <w:szCs w:val="22"/>
              </w:rPr>
              <w:br/>
              <w:t>…</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 xml:space="preserve">　</w:t>
            </w:r>
          </w:p>
        </w:tc>
      </w:tr>
      <w:tr w:rsidR="0062587D" w:rsidRPr="0062587D" w:rsidTr="0062587D">
        <w:trPr>
          <w:trHeight w:val="189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第十五条　本行股东享有下列权利：</w:t>
            </w:r>
            <w:r w:rsidRPr="0062587D">
              <w:rPr>
                <w:rFonts w:ascii="宋体" w:hAnsi="宋体" w:cs="宋体" w:hint="eastAsia"/>
                <w:color w:val="000000"/>
                <w:kern w:val="0"/>
                <w:sz w:val="22"/>
                <w:szCs w:val="22"/>
              </w:rPr>
              <w:br/>
              <w:t>…</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第十五条　本行股东享有下列权利：</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对于存在虚假陈述、滥用股东权利或其他损害商业银行利益行为的股东，监管部门可以限制或禁止 商业银行与其开展关联交易，限制其持有商业银行股权的限额、股权质押比例等，并可限制其股东大会召开请求权、表决权、提名权、提案权、处分权等权利。</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章程第39条</w:t>
            </w:r>
          </w:p>
        </w:tc>
      </w:tr>
      <w:tr w:rsidR="0062587D" w:rsidRPr="0062587D" w:rsidTr="0062587D">
        <w:trPr>
          <w:trHeight w:val="648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lastRenderedPageBreak/>
              <w:t>第十六条  本行股东承担下列义务：</w:t>
            </w:r>
            <w:r w:rsidRPr="0062587D">
              <w:rPr>
                <w:rFonts w:ascii="宋体" w:hAnsi="宋体" w:cs="宋体" w:hint="eastAsia"/>
                <w:color w:val="000000"/>
                <w:kern w:val="0"/>
                <w:sz w:val="22"/>
                <w:szCs w:val="22"/>
              </w:rPr>
              <w:br/>
              <w:t>（一）股东应当遵守法律法规和监管规定；</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（六）股东不得委托他人或接受他人委托持有本行股权，主要股东应当逐层说明其股权结构直至实际控制人、最终受益人，以及其与其他股东的关联关系或者一致行动关系；</w:t>
            </w:r>
            <w:r w:rsidRPr="0062587D">
              <w:rPr>
                <w:rFonts w:ascii="宋体" w:hAnsi="宋体" w:cs="宋体" w:hint="eastAsia"/>
                <w:color w:val="000000"/>
                <w:kern w:val="0"/>
                <w:sz w:val="22"/>
                <w:szCs w:val="22"/>
              </w:rPr>
              <w:br/>
              <w:t>（七）除国务院授权持有或法律法规另有规定外，同一投资人及其关联方、一致行动人作为本行主要股东参股商业银行的数量不得超过2家，或控股商业银行的数量不得超过1家；</w:t>
            </w:r>
            <w:r w:rsidRPr="0062587D">
              <w:rPr>
                <w:rFonts w:ascii="宋体" w:hAnsi="宋体" w:cs="宋体" w:hint="eastAsia"/>
                <w:color w:val="000000"/>
                <w:kern w:val="0"/>
                <w:sz w:val="22"/>
                <w:szCs w:val="22"/>
              </w:rPr>
              <w:br/>
              <w:t>（八）同一投资人及其关联方、一致行动人入股本行应当遵守银保监会规定的持股比例要求；</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（二十）本行法人股东如发生法定代表人、公司名称、注册地址、经营范围等重大事项变更，以及公司解散、被撤销或与其他公司合并、被其他公司兼并时，应在30天内书面通知本行；</w:t>
            </w:r>
            <w:r w:rsidRPr="0062587D">
              <w:rPr>
                <w:rFonts w:ascii="宋体" w:hAnsi="宋体" w:cs="宋体" w:hint="eastAsia"/>
                <w:color w:val="000000"/>
                <w:kern w:val="0"/>
                <w:sz w:val="22"/>
                <w:szCs w:val="22"/>
              </w:rPr>
              <w:br/>
              <w:t>...</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第十六条  本行股东承担下列义务：</w:t>
            </w:r>
            <w:r w:rsidRPr="0062587D">
              <w:rPr>
                <w:rFonts w:ascii="宋体" w:hAnsi="宋体" w:cs="宋体" w:hint="eastAsia"/>
                <w:color w:val="000000"/>
                <w:kern w:val="0"/>
                <w:sz w:val="22"/>
                <w:szCs w:val="22"/>
              </w:rPr>
              <w:br/>
              <w:t>（一）股东应当遵守法律法规和监管规定</w:t>
            </w:r>
            <w:r w:rsidRPr="0062587D">
              <w:rPr>
                <w:rFonts w:ascii="宋体" w:hAnsi="宋体" w:cs="宋体" w:hint="eastAsia"/>
                <w:color w:val="FF0000"/>
                <w:kern w:val="0"/>
                <w:sz w:val="22"/>
                <w:szCs w:val="22"/>
              </w:rPr>
              <w:t>和本章程</w:t>
            </w:r>
            <w:r w:rsidRPr="0062587D">
              <w:rPr>
                <w:rFonts w:ascii="宋体" w:hAnsi="宋体" w:cs="宋体" w:hint="eastAsia"/>
                <w:color w:val="FF0000"/>
                <w:kern w:val="0"/>
                <w:sz w:val="22"/>
                <w:szCs w:val="22"/>
              </w:rPr>
              <w:br/>
            </w:r>
            <w:r w:rsidRPr="0062587D">
              <w:rPr>
                <w:rFonts w:ascii="宋体" w:hAnsi="宋体" w:cs="宋体" w:hint="eastAsia"/>
                <w:kern w:val="0"/>
                <w:sz w:val="22"/>
                <w:szCs w:val="22"/>
              </w:rPr>
              <w:t>…</w:t>
            </w:r>
            <w:r w:rsidRPr="0062587D">
              <w:rPr>
                <w:rFonts w:ascii="宋体" w:hAnsi="宋体" w:cs="宋体" w:hint="eastAsia"/>
                <w:color w:val="FF0000"/>
                <w:kern w:val="0"/>
                <w:sz w:val="22"/>
                <w:szCs w:val="22"/>
              </w:rPr>
              <w:br/>
            </w:r>
            <w:r w:rsidRPr="0062587D">
              <w:rPr>
                <w:rFonts w:ascii="宋体" w:hAnsi="宋体" w:cs="宋体" w:hint="eastAsia"/>
                <w:kern w:val="0"/>
                <w:sz w:val="22"/>
                <w:szCs w:val="22"/>
              </w:rPr>
              <w:t>（六）股东不得委托他人或接受他人委托持有本行股权，</w:t>
            </w:r>
            <w:r w:rsidRPr="0062587D">
              <w:rPr>
                <w:rFonts w:ascii="宋体" w:hAnsi="宋体" w:cs="宋体" w:hint="eastAsia"/>
                <w:color w:val="FF0000"/>
                <w:kern w:val="0"/>
                <w:sz w:val="22"/>
                <w:szCs w:val="22"/>
              </w:rPr>
              <w:t>按照法律法规及监管规定，如实向</w:t>
            </w:r>
            <w:r w:rsidR="00F05E49">
              <w:rPr>
                <w:rFonts w:ascii="宋体" w:hAnsi="宋体" w:cs="宋体" w:hint="eastAsia"/>
                <w:color w:val="FF0000"/>
                <w:kern w:val="0"/>
                <w:sz w:val="22"/>
                <w:szCs w:val="22"/>
              </w:rPr>
              <w:t>本行</w:t>
            </w:r>
            <w:r w:rsidRPr="0062587D">
              <w:rPr>
                <w:rFonts w:ascii="宋体" w:hAnsi="宋体" w:cs="宋体" w:hint="eastAsia"/>
                <w:color w:val="FF0000"/>
                <w:kern w:val="0"/>
                <w:sz w:val="22"/>
                <w:szCs w:val="22"/>
              </w:rPr>
              <w:t>告知财务信息、股权结构、入股资金来源、控股股东、实际控制人、关联方、一致行动人、最终受益人、投资其他金融机构情况等信息 ；</w:t>
            </w:r>
            <w:r w:rsidRPr="0062587D">
              <w:rPr>
                <w:rFonts w:ascii="宋体" w:hAnsi="宋体" w:cs="宋体" w:hint="eastAsia"/>
                <w:color w:val="FF0000"/>
                <w:kern w:val="0"/>
                <w:sz w:val="22"/>
                <w:szCs w:val="22"/>
              </w:rPr>
              <w:br/>
              <w:t>（七）股东的控股股东、实际控制人、关联方、一致行动人、最终受益人发生变化的，相关股东应当按照法律法规及监管规定，及时将变更情况书面告知</w:t>
            </w:r>
            <w:r w:rsidR="00F05E49">
              <w:rPr>
                <w:rFonts w:ascii="宋体" w:hAnsi="宋体" w:cs="宋体" w:hint="eastAsia"/>
                <w:color w:val="FF0000"/>
                <w:kern w:val="0"/>
                <w:sz w:val="22"/>
                <w:szCs w:val="22"/>
              </w:rPr>
              <w:t>本行</w:t>
            </w:r>
            <w:r w:rsidRPr="0062587D">
              <w:rPr>
                <w:rFonts w:ascii="宋体" w:hAnsi="宋体" w:cs="宋体" w:hint="eastAsia"/>
                <w:color w:val="FF0000"/>
                <w:kern w:val="0"/>
                <w:sz w:val="22"/>
                <w:szCs w:val="22"/>
              </w:rPr>
              <w:t>（新增条款）</w:t>
            </w:r>
            <w:r w:rsidRPr="0062587D">
              <w:rPr>
                <w:rFonts w:ascii="宋体" w:hAnsi="宋体" w:cs="宋体" w:hint="eastAsia"/>
                <w:color w:val="FF0000"/>
                <w:kern w:val="0"/>
                <w:sz w:val="22"/>
                <w:szCs w:val="22"/>
              </w:rPr>
              <w:br/>
            </w:r>
            <w:r w:rsidRPr="0062587D">
              <w:rPr>
                <w:rFonts w:ascii="宋体" w:hAnsi="宋体" w:cs="宋体" w:hint="eastAsia"/>
                <w:kern w:val="0"/>
                <w:sz w:val="22"/>
                <w:szCs w:val="22"/>
              </w:rPr>
              <w:t>（八）除国务院授权持有或法律法规另有规定外，同一投资人及其关联方、一致行动人作为本行主要股东参股商业银行的数量不得超过2家，或控股商业银行的数量不得超过1家；</w:t>
            </w:r>
            <w:r w:rsidRPr="0062587D">
              <w:rPr>
                <w:rFonts w:ascii="宋体" w:hAnsi="宋体" w:cs="宋体" w:hint="eastAsia"/>
                <w:kern w:val="0"/>
                <w:sz w:val="22"/>
                <w:szCs w:val="22"/>
              </w:rPr>
              <w:br/>
              <w:t>（九）同一投资人及其关联方、一致行动人入股本行应当遵守银保监会规定的持股比例</w:t>
            </w:r>
            <w:r w:rsidRPr="0062587D">
              <w:rPr>
                <w:rFonts w:ascii="宋体" w:hAnsi="宋体" w:cs="宋体" w:hint="eastAsia"/>
                <w:color w:val="FF0000"/>
                <w:kern w:val="0"/>
                <w:sz w:val="22"/>
                <w:szCs w:val="22"/>
              </w:rPr>
              <w:t>和持股数量</w:t>
            </w:r>
            <w:r w:rsidRPr="0062587D">
              <w:rPr>
                <w:rFonts w:ascii="宋体" w:hAnsi="宋体" w:cs="宋体" w:hint="eastAsia"/>
                <w:kern w:val="0"/>
                <w:sz w:val="22"/>
                <w:szCs w:val="22"/>
              </w:rPr>
              <w:t>的要求</w:t>
            </w:r>
            <w:r w:rsidRPr="0062587D">
              <w:rPr>
                <w:rFonts w:ascii="宋体" w:hAnsi="宋体" w:cs="宋体" w:hint="eastAsia"/>
                <w:kern w:val="0"/>
                <w:sz w:val="22"/>
                <w:szCs w:val="22"/>
              </w:rPr>
              <w:br/>
              <w:t>...</w:t>
            </w:r>
            <w:r w:rsidRPr="0062587D">
              <w:rPr>
                <w:rFonts w:ascii="宋体" w:hAnsi="宋体" w:cs="宋体" w:hint="eastAsia"/>
                <w:kern w:val="0"/>
                <w:sz w:val="22"/>
                <w:szCs w:val="22"/>
              </w:rPr>
              <w:br/>
              <w:t>（二十）股东发</w:t>
            </w:r>
            <w:r w:rsidRPr="0062587D">
              <w:rPr>
                <w:rFonts w:ascii="宋体" w:hAnsi="宋体" w:cs="宋体" w:hint="eastAsia"/>
                <w:color w:val="FF0000"/>
                <w:kern w:val="0"/>
                <w:sz w:val="22"/>
                <w:szCs w:val="22"/>
              </w:rPr>
              <w:t>生合并、分立，被采取责令停业整顿、指定托管、接管、撤销等措施，或者进入解散、清算、破产程序，或者</w:t>
            </w:r>
            <w:r w:rsidRPr="0062587D">
              <w:rPr>
                <w:rFonts w:ascii="宋体" w:hAnsi="宋体" w:cs="宋体" w:hint="eastAsia"/>
                <w:kern w:val="0"/>
                <w:sz w:val="22"/>
                <w:szCs w:val="22"/>
              </w:rPr>
              <w:t>其法定代表人、公司名称、经营场所、经营范围及其他重大事项发生变化的，应当按照法律法规及监管规定 ，及时将相关情况书面告知</w:t>
            </w:r>
            <w:r w:rsidR="00F05E49">
              <w:rPr>
                <w:rFonts w:ascii="宋体" w:hAnsi="宋体" w:cs="宋体" w:hint="eastAsia"/>
                <w:kern w:val="0"/>
                <w:sz w:val="22"/>
                <w:szCs w:val="22"/>
              </w:rPr>
              <w:t>本行</w:t>
            </w:r>
            <w:r w:rsidRPr="0062587D">
              <w:rPr>
                <w:rFonts w:ascii="宋体" w:hAnsi="宋体" w:cs="宋体" w:hint="eastAsia"/>
                <w:kern w:val="0"/>
                <w:sz w:val="22"/>
                <w:szCs w:val="22"/>
              </w:rPr>
              <w:t>，应在30天内书面通知本行；</w:t>
            </w:r>
            <w:r w:rsidRPr="0062587D">
              <w:rPr>
                <w:rFonts w:ascii="宋体" w:hAnsi="宋体" w:cs="宋体" w:hint="eastAsia"/>
                <w:kern w:val="0"/>
                <w:sz w:val="22"/>
                <w:szCs w:val="22"/>
              </w:rPr>
              <w:br/>
              <w:t>...</w:t>
            </w:r>
            <w:r w:rsidRPr="0062587D">
              <w:rPr>
                <w:rFonts w:ascii="宋体" w:hAnsi="宋体" w:cs="宋体" w:hint="eastAsia"/>
                <w:kern w:val="0"/>
                <w:sz w:val="22"/>
                <w:szCs w:val="22"/>
              </w:rPr>
              <w:br/>
            </w:r>
            <w:r w:rsidRPr="0062587D">
              <w:rPr>
                <w:rFonts w:ascii="宋体" w:hAnsi="宋体" w:cs="宋体" w:hint="eastAsia"/>
                <w:color w:val="FF0000"/>
                <w:kern w:val="0"/>
                <w:sz w:val="22"/>
                <w:szCs w:val="22"/>
              </w:rPr>
              <w:t>（二十四）本行大股东应按照法律、行政法规要求规范持股行为、治理行为、交易行为，明确大股东责任义务。 （新增）</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《银行保险机构公司治理准则》第十六条</w:t>
            </w:r>
            <w:r w:rsidRPr="0062587D">
              <w:rPr>
                <w:rFonts w:ascii="宋体" w:hAnsi="宋体" w:cs="宋体" w:hint="eastAsia"/>
                <w:color w:val="000000"/>
                <w:kern w:val="0"/>
                <w:sz w:val="22"/>
                <w:szCs w:val="22"/>
              </w:rPr>
              <w:br/>
              <w:t>《银行保险机构大股东行为监管办法（试行）》</w:t>
            </w:r>
          </w:p>
        </w:tc>
      </w:tr>
      <w:tr w:rsidR="0062587D" w:rsidRPr="0062587D" w:rsidTr="0062587D">
        <w:trPr>
          <w:trHeight w:val="297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lastRenderedPageBreak/>
              <w:t>第二十九条  股权受让方应按规定提供相关材料：</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（二）受让方是法人应按规定提供以下材料：</w:t>
            </w:r>
            <w:r w:rsidRPr="0062587D">
              <w:rPr>
                <w:rFonts w:ascii="宋体" w:hAnsi="宋体" w:cs="宋体" w:hint="eastAsia"/>
                <w:color w:val="000000"/>
                <w:kern w:val="0"/>
                <w:sz w:val="22"/>
                <w:szCs w:val="22"/>
              </w:rPr>
              <w:br/>
              <w:t>1.受让方的营业执照（统一社会信用代码证）</w:t>
            </w:r>
            <w:r w:rsidRPr="0062587D">
              <w:rPr>
                <w:rFonts w:ascii="宋体" w:hAnsi="宋体" w:cs="宋体" w:hint="eastAsia"/>
                <w:color w:val="000000"/>
                <w:kern w:val="0"/>
                <w:sz w:val="22"/>
                <w:szCs w:val="22"/>
              </w:rPr>
              <w:br/>
              <w:t>2.受让方如有原持有我行股金，需提供股权凭证；</w:t>
            </w:r>
            <w:r w:rsidRPr="0062587D">
              <w:rPr>
                <w:rFonts w:ascii="宋体" w:hAnsi="宋体" w:cs="宋体" w:hint="eastAsia"/>
                <w:color w:val="000000"/>
                <w:kern w:val="0"/>
                <w:sz w:val="22"/>
                <w:szCs w:val="22"/>
              </w:rPr>
              <w:br/>
              <w:t>3.股东（大）会/董事会同意转让股权的文件,如由董事会出具同意转让股份文件的，还需提交董事会的人员清单；</w:t>
            </w:r>
            <w:r w:rsidRPr="0062587D">
              <w:rPr>
                <w:rFonts w:ascii="宋体" w:hAnsi="宋体" w:cs="宋体" w:hint="eastAsia"/>
                <w:color w:val="000000"/>
                <w:kern w:val="0"/>
                <w:sz w:val="22"/>
                <w:szCs w:val="22"/>
              </w:rPr>
              <w:br/>
              <w:t>4.工商部门备案的工商企业章程；</w:t>
            </w:r>
            <w:r w:rsidRPr="0062587D">
              <w:rPr>
                <w:rFonts w:ascii="宋体" w:hAnsi="宋体" w:cs="宋体" w:hint="eastAsia"/>
                <w:color w:val="000000"/>
                <w:kern w:val="0"/>
                <w:sz w:val="22"/>
                <w:szCs w:val="22"/>
              </w:rPr>
              <w:br/>
              <w:t>5.工商部门出具的工商企业登记基本情况表;</w:t>
            </w:r>
            <w:r w:rsidRPr="0062587D">
              <w:rPr>
                <w:rFonts w:ascii="宋体" w:hAnsi="宋体" w:cs="宋体" w:hint="eastAsia"/>
                <w:color w:val="000000"/>
                <w:kern w:val="0"/>
                <w:sz w:val="22"/>
                <w:szCs w:val="22"/>
              </w:rPr>
              <w:br/>
              <w:t>…</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第二十九条  股权受让方应按规定提供相关材料：</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（二）受让方是法人应按规定提供以下材料：</w:t>
            </w:r>
            <w:r w:rsidRPr="0062587D">
              <w:rPr>
                <w:rFonts w:ascii="宋体" w:hAnsi="宋体" w:cs="宋体" w:hint="eastAsia"/>
                <w:color w:val="000000"/>
                <w:kern w:val="0"/>
                <w:sz w:val="22"/>
                <w:szCs w:val="22"/>
              </w:rPr>
              <w:br/>
              <w:t>1.受让方的营业执照（统一社会信用代码证）</w:t>
            </w:r>
            <w:r w:rsidRPr="0062587D">
              <w:rPr>
                <w:rFonts w:ascii="宋体" w:hAnsi="宋体" w:cs="宋体" w:hint="eastAsia"/>
                <w:color w:val="000000"/>
                <w:kern w:val="0"/>
                <w:sz w:val="22"/>
                <w:szCs w:val="22"/>
              </w:rPr>
              <w:br/>
              <w:t>2.受让方如有原持有我行股金，需提供股权凭证；</w:t>
            </w:r>
            <w:r w:rsidRPr="0062587D">
              <w:rPr>
                <w:rFonts w:ascii="宋体" w:hAnsi="宋体" w:cs="宋体" w:hint="eastAsia"/>
                <w:color w:val="000000"/>
                <w:kern w:val="0"/>
                <w:sz w:val="22"/>
                <w:szCs w:val="22"/>
              </w:rPr>
              <w:br/>
              <w:t>3.股东（大）会/董事会同意转让股权的文件,如由董事会出具同意转让股份文件的，还需提交董事会的人员清单；</w:t>
            </w:r>
            <w:r w:rsidRPr="0062587D">
              <w:rPr>
                <w:rFonts w:ascii="宋体" w:hAnsi="宋体" w:cs="宋体" w:hint="eastAsia"/>
                <w:color w:val="000000"/>
                <w:kern w:val="0"/>
                <w:sz w:val="22"/>
                <w:szCs w:val="22"/>
              </w:rPr>
              <w:br/>
              <w:t>4.工商部门备案的工商企业章程；</w:t>
            </w:r>
            <w:r w:rsidRPr="0062587D">
              <w:rPr>
                <w:rFonts w:ascii="宋体" w:hAnsi="宋体" w:cs="宋体" w:hint="eastAsia"/>
                <w:color w:val="000000"/>
                <w:kern w:val="0"/>
                <w:sz w:val="22"/>
                <w:szCs w:val="22"/>
              </w:rPr>
              <w:br/>
              <w:t>5.工商部门出具的工商企业登记基本情况表</w:t>
            </w:r>
            <w:r w:rsidRPr="0062587D">
              <w:rPr>
                <w:rFonts w:ascii="宋体" w:hAnsi="宋体" w:cs="宋体" w:hint="eastAsia"/>
                <w:color w:val="FF0000"/>
                <w:kern w:val="0"/>
                <w:sz w:val="22"/>
                <w:szCs w:val="22"/>
              </w:rPr>
              <w:t>或者国家企业信用信息公示系统公示信息；</w:t>
            </w:r>
            <w:r w:rsidRPr="0062587D">
              <w:rPr>
                <w:rFonts w:ascii="宋体" w:hAnsi="宋体" w:cs="宋体" w:hint="eastAsia"/>
                <w:color w:val="000000"/>
                <w:kern w:val="0"/>
                <w:sz w:val="22"/>
                <w:szCs w:val="22"/>
              </w:rPr>
              <w:br/>
              <w:t>…</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 xml:space="preserve">　</w:t>
            </w:r>
          </w:p>
        </w:tc>
      </w:tr>
      <w:tr w:rsidR="0062587D" w:rsidRPr="0062587D" w:rsidTr="0062587D">
        <w:trPr>
          <w:trHeight w:val="297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第四十一条  股份持有人因改制、股份重组、收购等原因导致其名称、性质等变更，应在变更后30日内及时向本行董事会办公室提交《股份信息变更申请书》，按照本行《章程》及有关规定提供相关资料，办理股东名称等变更登记手续。</w:t>
            </w:r>
            <w:r w:rsidRPr="0062587D">
              <w:rPr>
                <w:rFonts w:ascii="宋体" w:hAnsi="宋体" w:cs="宋体" w:hint="eastAsia"/>
                <w:color w:val="000000"/>
                <w:kern w:val="0"/>
                <w:sz w:val="22"/>
                <w:szCs w:val="22"/>
              </w:rPr>
              <w:br/>
              <w:t>（一）法人股东需提交：</w:t>
            </w:r>
            <w:r w:rsidRPr="0062587D">
              <w:rPr>
                <w:rFonts w:ascii="宋体" w:hAnsi="宋体" w:cs="宋体" w:hint="eastAsia"/>
                <w:color w:val="000000"/>
                <w:kern w:val="0"/>
                <w:sz w:val="22"/>
                <w:szCs w:val="22"/>
              </w:rPr>
              <w:br/>
              <w:t>1.由法定代表人（或授权代表人）签署并加盖法人公章的更名申请报告；</w:t>
            </w:r>
            <w:r w:rsidRPr="0062587D">
              <w:rPr>
                <w:rFonts w:ascii="宋体" w:hAnsi="宋体" w:cs="宋体" w:hint="eastAsia"/>
                <w:color w:val="000000"/>
                <w:kern w:val="0"/>
                <w:sz w:val="22"/>
                <w:szCs w:val="22"/>
              </w:rPr>
              <w:br/>
              <w:t>2.公司（企业）登记机关的核准文件；</w:t>
            </w:r>
            <w:r w:rsidRPr="0062587D">
              <w:rPr>
                <w:rFonts w:ascii="宋体" w:hAnsi="宋体" w:cs="宋体" w:hint="eastAsia"/>
                <w:color w:val="000000"/>
                <w:kern w:val="0"/>
                <w:sz w:val="22"/>
                <w:szCs w:val="22"/>
              </w:rPr>
              <w:br/>
              <w:t>3.工商部门出具的工商企业登记基本情况表;</w:t>
            </w:r>
            <w:r w:rsidRPr="0062587D">
              <w:rPr>
                <w:rFonts w:ascii="宋体" w:hAnsi="宋体" w:cs="宋体" w:hint="eastAsia"/>
                <w:color w:val="000000"/>
                <w:kern w:val="0"/>
                <w:sz w:val="22"/>
                <w:szCs w:val="22"/>
              </w:rPr>
              <w:br/>
              <w:t>...</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第四十一条  股份持有人因改制、股份重组、收购等原因导致其名称、性质等变更，应在变更后30日内及时向本行董事会办公室提交《股份信息变更申请书》，按照本行《章程》及有关规定提供相关资料，办理股东名称等变更登记手续。</w:t>
            </w:r>
            <w:r w:rsidRPr="0062587D">
              <w:rPr>
                <w:rFonts w:ascii="宋体" w:hAnsi="宋体" w:cs="宋体" w:hint="eastAsia"/>
                <w:color w:val="000000"/>
                <w:kern w:val="0"/>
                <w:sz w:val="22"/>
                <w:szCs w:val="22"/>
              </w:rPr>
              <w:br/>
              <w:t>（一）法人股东需提交：</w:t>
            </w:r>
            <w:r w:rsidRPr="0062587D">
              <w:rPr>
                <w:rFonts w:ascii="宋体" w:hAnsi="宋体" w:cs="宋体" w:hint="eastAsia"/>
                <w:color w:val="000000"/>
                <w:kern w:val="0"/>
                <w:sz w:val="22"/>
                <w:szCs w:val="22"/>
              </w:rPr>
              <w:br/>
              <w:t>1.由法定代表人（或授权代表人）签署并加盖法人公章的更名申请报告；</w:t>
            </w:r>
            <w:r w:rsidRPr="0062587D">
              <w:rPr>
                <w:rFonts w:ascii="宋体" w:hAnsi="宋体" w:cs="宋体" w:hint="eastAsia"/>
                <w:color w:val="000000"/>
                <w:kern w:val="0"/>
                <w:sz w:val="22"/>
                <w:szCs w:val="22"/>
              </w:rPr>
              <w:br/>
              <w:t>2.公司（企业）登记机关的核准文件；</w:t>
            </w:r>
            <w:r w:rsidRPr="0062587D">
              <w:rPr>
                <w:rFonts w:ascii="宋体" w:hAnsi="宋体" w:cs="宋体" w:hint="eastAsia"/>
                <w:color w:val="000000"/>
                <w:kern w:val="0"/>
                <w:sz w:val="22"/>
                <w:szCs w:val="22"/>
              </w:rPr>
              <w:br/>
              <w:t>3.工商部门出具的工商企业登记基本情况表</w:t>
            </w:r>
            <w:r w:rsidRPr="0062587D">
              <w:rPr>
                <w:rFonts w:ascii="宋体" w:hAnsi="宋体" w:cs="宋体" w:hint="eastAsia"/>
                <w:color w:val="FF0000"/>
                <w:kern w:val="0"/>
                <w:sz w:val="22"/>
                <w:szCs w:val="22"/>
              </w:rPr>
              <w:t>或者国家企业信用信息公示系统公示信息；</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 xml:space="preserve">　</w:t>
            </w:r>
          </w:p>
        </w:tc>
      </w:tr>
      <w:tr w:rsidR="0062587D" w:rsidRPr="0062587D" w:rsidTr="0062587D">
        <w:trPr>
          <w:trHeight w:val="135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第四十七条  质押登记的申请、受理:</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2.董事会办公室对股份质押申请进行合规性初审，提交董事会审批。</w:t>
            </w:r>
            <w:r w:rsidRPr="0062587D">
              <w:rPr>
                <w:rFonts w:ascii="宋体" w:hAnsi="宋体" w:cs="宋体" w:hint="eastAsia"/>
                <w:color w:val="000000"/>
                <w:kern w:val="0"/>
                <w:sz w:val="22"/>
                <w:szCs w:val="22"/>
              </w:rPr>
              <w:br/>
              <w:t>…</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第四十七条  质押登记的申请、受理:</w:t>
            </w:r>
            <w:r w:rsidRPr="0062587D">
              <w:rPr>
                <w:rFonts w:ascii="宋体" w:hAnsi="宋体" w:cs="宋体" w:hint="eastAsia"/>
                <w:color w:val="000000"/>
                <w:kern w:val="0"/>
                <w:sz w:val="22"/>
                <w:szCs w:val="22"/>
              </w:rPr>
              <w:br/>
              <w:t>...</w:t>
            </w:r>
            <w:r w:rsidRPr="0062587D">
              <w:rPr>
                <w:rFonts w:ascii="宋体" w:hAnsi="宋体" w:cs="宋体" w:hint="eastAsia"/>
                <w:color w:val="000000"/>
                <w:kern w:val="0"/>
                <w:sz w:val="22"/>
                <w:szCs w:val="22"/>
              </w:rPr>
              <w:br/>
              <w:t>2.董事会办公室对股份质押申请进行合规性初审后，由</w:t>
            </w:r>
            <w:r w:rsidRPr="0062587D">
              <w:rPr>
                <w:rFonts w:ascii="宋体" w:hAnsi="宋体" w:cs="宋体" w:hint="eastAsia"/>
                <w:color w:val="FF0000"/>
                <w:kern w:val="0"/>
                <w:sz w:val="22"/>
                <w:szCs w:val="22"/>
              </w:rPr>
              <w:t>风险管理部从信贷资产安全管理角度进行审查，</w:t>
            </w:r>
            <w:r w:rsidRPr="0062587D">
              <w:rPr>
                <w:rFonts w:ascii="宋体" w:hAnsi="宋体" w:cs="宋体" w:hint="eastAsia"/>
                <w:color w:val="000000"/>
                <w:kern w:val="0"/>
                <w:sz w:val="22"/>
                <w:szCs w:val="22"/>
              </w:rPr>
              <w:t>提交董事会审批。</w:t>
            </w:r>
            <w:r w:rsidRPr="0062587D">
              <w:rPr>
                <w:rFonts w:ascii="宋体" w:hAnsi="宋体" w:cs="宋体" w:hint="eastAsia"/>
                <w:color w:val="000000"/>
                <w:kern w:val="0"/>
                <w:sz w:val="22"/>
                <w:szCs w:val="22"/>
              </w:rPr>
              <w:br/>
              <w:t>…</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本行实际，增强风险把控</w:t>
            </w:r>
          </w:p>
        </w:tc>
      </w:tr>
      <w:tr w:rsidR="0062587D" w:rsidRPr="0062587D" w:rsidTr="0062587D">
        <w:trPr>
          <w:trHeight w:val="108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lastRenderedPageBreak/>
              <w:t>第六十六条  本行前十名法人股东、前十名自然人股东的股份权属变更，本行应对本行《章程》记载作相应修改。该项修改无需由股东大会作出决议。作出上述修改后，本行应按照相关法律法规的要求及时到本行工商注册登记机关办理本行《章程》修改备案。</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删除</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本行实际</w:t>
            </w:r>
          </w:p>
        </w:tc>
      </w:tr>
      <w:tr w:rsidR="0062587D" w:rsidRPr="0062587D" w:rsidTr="0062587D">
        <w:trPr>
          <w:trHeight w:val="810"/>
        </w:trPr>
        <w:tc>
          <w:tcPr>
            <w:tcW w:w="2210" w:type="pct"/>
            <w:tcBorders>
              <w:top w:val="nil"/>
              <w:left w:val="single" w:sz="4" w:space="0" w:color="auto"/>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第七十一条  本办法经本行股东大会审议通过后实施，修改时亦同。</w:t>
            </w:r>
          </w:p>
        </w:tc>
        <w:tc>
          <w:tcPr>
            <w:tcW w:w="2243"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第七十条  本办法经本行股东大会审议通过后实施，修改时亦同，</w:t>
            </w:r>
            <w:r w:rsidRPr="0062587D">
              <w:rPr>
                <w:rFonts w:ascii="宋体" w:hAnsi="宋体" w:cs="宋体" w:hint="eastAsia"/>
                <w:color w:val="FF0000"/>
                <w:kern w:val="0"/>
                <w:sz w:val="22"/>
                <w:szCs w:val="22"/>
              </w:rPr>
              <w:t>原《江苏扬州农村商业银行股份有限公司股权管理办法》扬商银发[2021]350号同时废止。</w:t>
            </w:r>
          </w:p>
        </w:tc>
        <w:tc>
          <w:tcPr>
            <w:tcW w:w="547" w:type="pct"/>
            <w:tcBorders>
              <w:top w:val="nil"/>
              <w:left w:val="nil"/>
              <w:bottom w:val="single" w:sz="4" w:space="0" w:color="auto"/>
              <w:right w:val="single" w:sz="4" w:space="0" w:color="auto"/>
            </w:tcBorders>
            <w:shd w:val="clear" w:color="auto" w:fill="auto"/>
            <w:vAlign w:val="center"/>
            <w:hideMark/>
          </w:tcPr>
          <w:p w:rsidR="0062587D" w:rsidRPr="0062587D" w:rsidRDefault="0062587D" w:rsidP="0062587D">
            <w:pPr>
              <w:widowControl/>
              <w:jc w:val="left"/>
              <w:rPr>
                <w:rFonts w:ascii="宋体" w:hAnsi="宋体" w:cs="宋体"/>
                <w:color w:val="000000"/>
                <w:kern w:val="0"/>
                <w:sz w:val="22"/>
                <w:szCs w:val="22"/>
              </w:rPr>
            </w:pPr>
            <w:r w:rsidRPr="0062587D">
              <w:rPr>
                <w:rFonts w:ascii="宋体" w:hAnsi="宋体" w:cs="宋体" w:hint="eastAsia"/>
                <w:color w:val="000000"/>
                <w:kern w:val="0"/>
                <w:sz w:val="22"/>
                <w:szCs w:val="22"/>
              </w:rPr>
              <w:t xml:space="preserve">　</w:t>
            </w:r>
          </w:p>
        </w:tc>
      </w:tr>
    </w:tbl>
    <w:p w:rsidR="00AD7A81" w:rsidRPr="0062587D" w:rsidRDefault="00AD7A81" w:rsidP="00862908">
      <w:pPr>
        <w:widowControl/>
        <w:snapToGrid w:val="0"/>
        <w:spacing w:line="560" w:lineRule="exact"/>
        <w:rPr>
          <w:rFonts w:ascii="仿宋_GB2312" w:eastAsia="仿宋_GB2312" w:hAnsi="宋体"/>
          <w:bCs/>
          <w:kern w:val="0"/>
          <w:sz w:val="30"/>
          <w:szCs w:val="30"/>
        </w:rPr>
      </w:pPr>
    </w:p>
    <w:sectPr w:rsidR="00AD7A81" w:rsidRPr="0062587D" w:rsidSect="00862908">
      <w:footerReference w:type="default" r:id="rId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FEA" w:rsidRDefault="001E2FEA" w:rsidP="00042E04">
      <w:r>
        <w:separator/>
      </w:r>
    </w:p>
  </w:endnote>
  <w:endnote w:type="continuationSeparator" w:id="1">
    <w:p w:rsidR="001E2FEA" w:rsidRDefault="001E2FEA" w:rsidP="00042E0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Arial Unicode MS"/>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908" w:rsidRPr="00042E04" w:rsidRDefault="00862908" w:rsidP="00042E04">
    <w:pPr>
      <w:pStyle w:val="a4"/>
      <w:jc w:val="center"/>
      <w:rPr>
        <w:sz w:val="24"/>
        <w:szCs w:val="24"/>
      </w:rPr>
    </w:pPr>
    <w:r w:rsidRPr="00652812">
      <w:rPr>
        <w:kern w:val="0"/>
        <w:sz w:val="24"/>
        <w:szCs w:val="24"/>
      </w:rPr>
      <w:t xml:space="preserve">- </w:t>
    </w:r>
    <w:r w:rsidR="00AC0856" w:rsidRPr="00652812">
      <w:rPr>
        <w:kern w:val="0"/>
        <w:sz w:val="24"/>
        <w:szCs w:val="24"/>
      </w:rPr>
      <w:fldChar w:fldCharType="begin"/>
    </w:r>
    <w:r w:rsidRPr="00652812">
      <w:rPr>
        <w:kern w:val="0"/>
        <w:sz w:val="24"/>
        <w:szCs w:val="24"/>
      </w:rPr>
      <w:instrText xml:space="preserve"> PAGE </w:instrText>
    </w:r>
    <w:r w:rsidR="00AC0856" w:rsidRPr="00652812">
      <w:rPr>
        <w:kern w:val="0"/>
        <w:sz w:val="24"/>
        <w:szCs w:val="24"/>
      </w:rPr>
      <w:fldChar w:fldCharType="separate"/>
    </w:r>
    <w:r w:rsidR="00D039D2">
      <w:rPr>
        <w:noProof/>
        <w:kern w:val="0"/>
        <w:sz w:val="24"/>
        <w:szCs w:val="24"/>
      </w:rPr>
      <w:t>1</w:t>
    </w:r>
    <w:r w:rsidR="00AC0856" w:rsidRPr="00652812">
      <w:rPr>
        <w:kern w:val="0"/>
        <w:sz w:val="24"/>
        <w:szCs w:val="24"/>
      </w:rPr>
      <w:fldChar w:fldCharType="end"/>
    </w:r>
    <w:r w:rsidRPr="00652812">
      <w:rPr>
        <w:kern w:val="0"/>
        <w:sz w:val="24"/>
        <w:szCs w:val="24"/>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E04" w:rsidRPr="00042E04" w:rsidRDefault="00042E04" w:rsidP="00042E04">
    <w:pPr>
      <w:pStyle w:val="a4"/>
      <w:jc w:val="center"/>
      <w:rPr>
        <w:sz w:val="24"/>
        <w:szCs w:val="24"/>
      </w:rPr>
    </w:pPr>
    <w:r w:rsidRPr="00652812">
      <w:rPr>
        <w:kern w:val="0"/>
        <w:sz w:val="24"/>
        <w:szCs w:val="24"/>
      </w:rPr>
      <w:t xml:space="preserve">- </w:t>
    </w:r>
    <w:r w:rsidR="00AC0856" w:rsidRPr="00652812">
      <w:rPr>
        <w:kern w:val="0"/>
        <w:sz w:val="24"/>
        <w:szCs w:val="24"/>
      </w:rPr>
      <w:fldChar w:fldCharType="begin"/>
    </w:r>
    <w:r w:rsidRPr="00652812">
      <w:rPr>
        <w:kern w:val="0"/>
        <w:sz w:val="24"/>
        <w:szCs w:val="24"/>
      </w:rPr>
      <w:instrText xml:space="preserve"> PAGE </w:instrText>
    </w:r>
    <w:r w:rsidR="00AC0856" w:rsidRPr="00652812">
      <w:rPr>
        <w:kern w:val="0"/>
        <w:sz w:val="24"/>
        <w:szCs w:val="24"/>
      </w:rPr>
      <w:fldChar w:fldCharType="separate"/>
    </w:r>
    <w:r w:rsidR="00D039D2">
      <w:rPr>
        <w:noProof/>
        <w:kern w:val="0"/>
        <w:sz w:val="24"/>
        <w:szCs w:val="24"/>
      </w:rPr>
      <w:t>6</w:t>
    </w:r>
    <w:r w:rsidR="00AC0856" w:rsidRPr="00652812">
      <w:rPr>
        <w:kern w:val="0"/>
        <w:sz w:val="24"/>
        <w:szCs w:val="24"/>
      </w:rPr>
      <w:fldChar w:fldCharType="end"/>
    </w:r>
    <w:r w:rsidRPr="00652812">
      <w:rPr>
        <w:kern w:val="0"/>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FEA" w:rsidRDefault="001E2FEA" w:rsidP="00042E04">
      <w:r>
        <w:separator/>
      </w:r>
    </w:p>
  </w:footnote>
  <w:footnote w:type="continuationSeparator" w:id="1">
    <w:p w:rsidR="001E2FEA" w:rsidRDefault="001E2FEA" w:rsidP="00042E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55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4F8E"/>
    <w:rsid w:val="00016090"/>
    <w:rsid w:val="00033DCF"/>
    <w:rsid w:val="00042E04"/>
    <w:rsid w:val="00103287"/>
    <w:rsid w:val="00105D78"/>
    <w:rsid w:val="0011444B"/>
    <w:rsid w:val="0012610F"/>
    <w:rsid w:val="00153124"/>
    <w:rsid w:val="00194B19"/>
    <w:rsid w:val="001B5109"/>
    <w:rsid w:val="001B6515"/>
    <w:rsid w:val="001C4B28"/>
    <w:rsid w:val="001C78C9"/>
    <w:rsid w:val="001E118A"/>
    <w:rsid w:val="001E2FEA"/>
    <w:rsid w:val="00206D93"/>
    <w:rsid w:val="002977C8"/>
    <w:rsid w:val="002E3959"/>
    <w:rsid w:val="00312596"/>
    <w:rsid w:val="00327134"/>
    <w:rsid w:val="00351552"/>
    <w:rsid w:val="00371B40"/>
    <w:rsid w:val="003A0BDD"/>
    <w:rsid w:val="003A3144"/>
    <w:rsid w:val="003B66C3"/>
    <w:rsid w:val="00407F88"/>
    <w:rsid w:val="00426BD4"/>
    <w:rsid w:val="0043603E"/>
    <w:rsid w:val="004625CA"/>
    <w:rsid w:val="0046327D"/>
    <w:rsid w:val="004675FC"/>
    <w:rsid w:val="00471339"/>
    <w:rsid w:val="00515EDE"/>
    <w:rsid w:val="00565819"/>
    <w:rsid w:val="005749A1"/>
    <w:rsid w:val="005B302F"/>
    <w:rsid w:val="005E1409"/>
    <w:rsid w:val="00616C1D"/>
    <w:rsid w:val="0062587D"/>
    <w:rsid w:val="00631B3D"/>
    <w:rsid w:val="00675DE5"/>
    <w:rsid w:val="006B30EE"/>
    <w:rsid w:val="006B3FF8"/>
    <w:rsid w:val="006B7B94"/>
    <w:rsid w:val="006E76C4"/>
    <w:rsid w:val="00740CBD"/>
    <w:rsid w:val="00744B26"/>
    <w:rsid w:val="0074770F"/>
    <w:rsid w:val="00764726"/>
    <w:rsid w:val="00774BBC"/>
    <w:rsid w:val="007868A2"/>
    <w:rsid w:val="0079318F"/>
    <w:rsid w:val="007A2AFD"/>
    <w:rsid w:val="007A7363"/>
    <w:rsid w:val="007C1076"/>
    <w:rsid w:val="007D7307"/>
    <w:rsid w:val="008053CB"/>
    <w:rsid w:val="00836AA6"/>
    <w:rsid w:val="00844843"/>
    <w:rsid w:val="00856E4A"/>
    <w:rsid w:val="00862908"/>
    <w:rsid w:val="00866CCF"/>
    <w:rsid w:val="008815F2"/>
    <w:rsid w:val="00890C6B"/>
    <w:rsid w:val="008A0981"/>
    <w:rsid w:val="008A7D7A"/>
    <w:rsid w:val="008C3BBC"/>
    <w:rsid w:val="008D7E1F"/>
    <w:rsid w:val="008E1DD8"/>
    <w:rsid w:val="008E2B79"/>
    <w:rsid w:val="008E3435"/>
    <w:rsid w:val="008F456A"/>
    <w:rsid w:val="009273E2"/>
    <w:rsid w:val="00950C6B"/>
    <w:rsid w:val="009631C9"/>
    <w:rsid w:val="00972B83"/>
    <w:rsid w:val="009A6941"/>
    <w:rsid w:val="00A1025C"/>
    <w:rsid w:val="00A843C5"/>
    <w:rsid w:val="00A97A3A"/>
    <w:rsid w:val="00AC0856"/>
    <w:rsid w:val="00AC4FF5"/>
    <w:rsid w:val="00AD7A81"/>
    <w:rsid w:val="00B443AF"/>
    <w:rsid w:val="00B50AE2"/>
    <w:rsid w:val="00B667D1"/>
    <w:rsid w:val="00BF6671"/>
    <w:rsid w:val="00C11D06"/>
    <w:rsid w:val="00C14761"/>
    <w:rsid w:val="00C55977"/>
    <w:rsid w:val="00CA57B1"/>
    <w:rsid w:val="00CB3248"/>
    <w:rsid w:val="00CC5B8A"/>
    <w:rsid w:val="00D039D2"/>
    <w:rsid w:val="00D06B4F"/>
    <w:rsid w:val="00D32E8F"/>
    <w:rsid w:val="00D54F8E"/>
    <w:rsid w:val="00D560E0"/>
    <w:rsid w:val="00D5716A"/>
    <w:rsid w:val="00D95193"/>
    <w:rsid w:val="00DA7564"/>
    <w:rsid w:val="00E015CA"/>
    <w:rsid w:val="00E15980"/>
    <w:rsid w:val="00E22610"/>
    <w:rsid w:val="00E2499D"/>
    <w:rsid w:val="00F05E49"/>
    <w:rsid w:val="00F34944"/>
    <w:rsid w:val="00F65865"/>
    <w:rsid w:val="00F74BDE"/>
    <w:rsid w:val="00F779BC"/>
    <w:rsid w:val="00FA77FF"/>
    <w:rsid w:val="00FB04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F8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2E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2E04"/>
    <w:rPr>
      <w:rFonts w:ascii="Times New Roman" w:eastAsia="宋体" w:hAnsi="Times New Roman" w:cs="Times New Roman"/>
      <w:sz w:val="18"/>
      <w:szCs w:val="18"/>
    </w:rPr>
  </w:style>
  <w:style w:type="paragraph" w:styleId="a4">
    <w:name w:val="footer"/>
    <w:basedOn w:val="a"/>
    <w:link w:val="Char0"/>
    <w:unhideWhenUsed/>
    <w:rsid w:val="00042E04"/>
    <w:pPr>
      <w:tabs>
        <w:tab w:val="center" w:pos="4153"/>
        <w:tab w:val="right" w:pos="8306"/>
      </w:tabs>
      <w:snapToGrid w:val="0"/>
      <w:jc w:val="left"/>
    </w:pPr>
    <w:rPr>
      <w:sz w:val="18"/>
      <w:szCs w:val="18"/>
    </w:rPr>
  </w:style>
  <w:style w:type="character" w:customStyle="1" w:styleId="Char0">
    <w:name w:val="页脚 Char"/>
    <w:basedOn w:val="a0"/>
    <w:link w:val="a4"/>
    <w:rsid w:val="00042E04"/>
    <w:rPr>
      <w:rFonts w:ascii="Times New Roman" w:eastAsia="宋体" w:hAnsi="Times New Roman" w:cs="Times New Roman"/>
      <w:sz w:val="18"/>
      <w:szCs w:val="18"/>
    </w:rPr>
  </w:style>
  <w:style w:type="paragraph" w:styleId="a5">
    <w:name w:val="Date"/>
    <w:basedOn w:val="a"/>
    <w:next w:val="a"/>
    <w:link w:val="Char1"/>
    <w:uiPriority w:val="99"/>
    <w:semiHidden/>
    <w:unhideWhenUsed/>
    <w:rsid w:val="00862908"/>
    <w:pPr>
      <w:ind w:leftChars="2500" w:left="100"/>
    </w:pPr>
  </w:style>
  <w:style w:type="character" w:customStyle="1" w:styleId="Char1">
    <w:name w:val="日期 Char"/>
    <w:basedOn w:val="a0"/>
    <w:link w:val="a5"/>
    <w:uiPriority w:val="99"/>
    <w:semiHidden/>
    <w:rsid w:val="00862908"/>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73037512">
      <w:bodyDiv w:val="1"/>
      <w:marLeft w:val="0"/>
      <w:marRight w:val="0"/>
      <w:marTop w:val="0"/>
      <w:marBottom w:val="0"/>
      <w:divBdr>
        <w:top w:val="none" w:sz="0" w:space="0" w:color="auto"/>
        <w:left w:val="none" w:sz="0" w:space="0" w:color="auto"/>
        <w:bottom w:val="none" w:sz="0" w:space="0" w:color="auto"/>
        <w:right w:val="none" w:sz="0" w:space="0" w:color="auto"/>
      </w:divBdr>
    </w:div>
    <w:div w:id="1378702142">
      <w:bodyDiv w:val="1"/>
      <w:marLeft w:val="0"/>
      <w:marRight w:val="0"/>
      <w:marTop w:val="0"/>
      <w:marBottom w:val="0"/>
      <w:divBdr>
        <w:top w:val="none" w:sz="0" w:space="0" w:color="auto"/>
        <w:left w:val="none" w:sz="0" w:space="0" w:color="auto"/>
        <w:bottom w:val="none" w:sz="0" w:space="0" w:color="auto"/>
        <w:right w:val="none" w:sz="0" w:space="0" w:color="auto"/>
      </w:divBdr>
    </w:div>
    <w:div w:id="1589387601">
      <w:bodyDiv w:val="1"/>
      <w:marLeft w:val="0"/>
      <w:marRight w:val="0"/>
      <w:marTop w:val="0"/>
      <w:marBottom w:val="0"/>
      <w:divBdr>
        <w:top w:val="none" w:sz="0" w:space="0" w:color="auto"/>
        <w:left w:val="none" w:sz="0" w:space="0" w:color="auto"/>
        <w:bottom w:val="none" w:sz="0" w:space="0" w:color="auto"/>
        <w:right w:val="none" w:sz="0" w:space="0" w:color="auto"/>
      </w:divBdr>
    </w:div>
    <w:div w:id="1701740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586</Words>
  <Characters>3343</Characters>
  <Application>Microsoft Office Word</Application>
  <DocSecurity>0</DocSecurity>
  <Lines>27</Lines>
  <Paragraphs>7</Paragraphs>
  <ScaleCrop>false</ScaleCrop>
  <Company>ITianKong.Com</Company>
  <LinksUpToDate>false</LinksUpToDate>
  <CharactersWithSpaces>3922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苏楠岚</dc:creator>
  <cp:keywords/>
  <dc:description/>
  <cp:lastModifiedBy>陈超（女）</cp:lastModifiedBy>
  <cp:revision>6</cp:revision>
  <cp:lastPrinted>2019-03-28T06:54:00Z</cp:lastPrinted>
  <dcterms:created xsi:type="dcterms:W3CDTF">2022-03-30T01:18:00Z</dcterms:created>
  <dcterms:modified xsi:type="dcterms:W3CDTF">2022-04-27T08:28:00Z</dcterms:modified>
</cp:coreProperties>
</file>