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A28" w:rsidRDefault="00372A28" w:rsidP="00372A28">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2021年度股东大会会议材料十四                  商密A</w:t>
      </w:r>
    </w:p>
    <w:p w:rsidR="00E2499D" w:rsidRPr="00372A28" w:rsidRDefault="00E2499D" w:rsidP="00042E04">
      <w:pPr>
        <w:spacing w:line="600" w:lineRule="exact"/>
        <w:jc w:val="center"/>
        <w:rPr>
          <w:rFonts w:ascii="方正小标宋简体" w:eastAsia="方正小标宋简体" w:hAnsiTheme="minorEastAsia"/>
          <w:kern w:val="0"/>
          <w:sz w:val="44"/>
          <w:szCs w:val="44"/>
        </w:rPr>
      </w:pPr>
    </w:p>
    <w:p w:rsidR="00A843C5" w:rsidRDefault="00A843C5" w:rsidP="00042E04">
      <w:pPr>
        <w:spacing w:line="600" w:lineRule="exact"/>
        <w:jc w:val="center"/>
        <w:rPr>
          <w:rFonts w:ascii="方正小标宋简体" w:eastAsia="方正小标宋简体" w:hAnsiTheme="minorEastAsia"/>
          <w:kern w:val="0"/>
          <w:sz w:val="44"/>
          <w:szCs w:val="44"/>
        </w:rPr>
      </w:pPr>
      <w:r>
        <w:rPr>
          <w:rFonts w:ascii="方正小标宋简体" w:eastAsia="方正小标宋简体" w:hAnsiTheme="minorEastAsia" w:hint="eastAsia"/>
          <w:kern w:val="0"/>
          <w:sz w:val="44"/>
          <w:szCs w:val="44"/>
        </w:rPr>
        <w:t>江苏扬州农村商业银行股份有限公司</w:t>
      </w:r>
    </w:p>
    <w:p w:rsidR="00D54F8E" w:rsidRPr="007A7363" w:rsidRDefault="00D54F8E" w:rsidP="00A843C5">
      <w:pPr>
        <w:spacing w:line="600" w:lineRule="exact"/>
        <w:jc w:val="center"/>
        <w:rPr>
          <w:rFonts w:ascii="方正小标宋简体" w:eastAsia="方正小标宋简体" w:hAnsiTheme="minorEastAsia"/>
          <w:kern w:val="0"/>
          <w:sz w:val="44"/>
          <w:szCs w:val="44"/>
        </w:rPr>
      </w:pPr>
      <w:r w:rsidRPr="007A7363">
        <w:rPr>
          <w:rFonts w:ascii="方正小标宋简体" w:eastAsia="方正小标宋简体" w:hAnsiTheme="minorEastAsia" w:hint="eastAsia"/>
          <w:kern w:val="0"/>
          <w:sz w:val="44"/>
          <w:szCs w:val="44"/>
        </w:rPr>
        <w:t>关于修订</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江苏扬州农村商业银行</w:t>
      </w:r>
      <w:r w:rsidR="007A7363">
        <w:rPr>
          <w:rFonts w:ascii="方正小标宋简体" w:eastAsia="方正小标宋简体" w:hAnsiTheme="minorEastAsia" w:hint="eastAsia"/>
          <w:kern w:val="0"/>
          <w:sz w:val="44"/>
          <w:szCs w:val="44"/>
        </w:rPr>
        <w:t>股份有限公司</w:t>
      </w:r>
      <w:r w:rsidR="00F779BC" w:rsidRPr="00F779BC">
        <w:rPr>
          <w:rFonts w:ascii="方正小标宋简体" w:eastAsia="方正小标宋简体" w:hAnsiTheme="minorEastAsia" w:hint="eastAsia"/>
          <w:kern w:val="0"/>
          <w:sz w:val="44"/>
          <w:szCs w:val="44"/>
        </w:rPr>
        <w:t>股权</w:t>
      </w:r>
      <w:r w:rsidR="00B322AB">
        <w:rPr>
          <w:rFonts w:ascii="方正小标宋简体" w:eastAsia="方正小标宋简体" w:hAnsiTheme="minorEastAsia" w:hint="eastAsia"/>
          <w:kern w:val="0"/>
          <w:sz w:val="44"/>
          <w:szCs w:val="44"/>
        </w:rPr>
        <w:t>托管</w:t>
      </w:r>
      <w:r w:rsidR="00F779BC" w:rsidRPr="00F779BC">
        <w:rPr>
          <w:rFonts w:ascii="方正小标宋简体" w:eastAsia="方正小标宋简体" w:hAnsiTheme="minorEastAsia" w:hint="eastAsia"/>
          <w:kern w:val="0"/>
          <w:sz w:val="44"/>
          <w:szCs w:val="44"/>
        </w:rPr>
        <w:t>管理办法</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的议案</w:t>
      </w:r>
    </w:p>
    <w:p w:rsidR="00D54F8E" w:rsidRPr="007A7363" w:rsidRDefault="00D54F8E" w:rsidP="00042E04">
      <w:pPr>
        <w:spacing w:line="600" w:lineRule="exact"/>
        <w:rPr>
          <w:rFonts w:ascii="仿宋_GB2312" w:eastAsia="仿宋_GB2312"/>
          <w:kern w:val="0"/>
          <w:sz w:val="30"/>
          <w:szCs w:val="30"/>
        </w:rPr>
      </w:pPr>
    </w:p>
    <w:p w:rsidR="00372A28" w:rsidRPr="008D1B54" w:rsidRDefault="00372A28" w:rsidP="00372A28">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862908" w:rsidRPr="00372A28" w:rsidRDefault="00D54F8E" w:rsidP="00372A28">
      <w:pPr>
        <w:spacing w:line="560" w:lineRule="exact"/>
        <w:ind w:firstLineChars="192" w:firstLine="614"/>
        <w:rPr>
          <w:rFonts w:ascii="仿宋_GB2312" w:eastAsia="仿宋_GB2312"/>
          <w:kern w:val="0"/>
          <w:sz w:val="32"/>
          <w:szCs w:val="30"/>
        </w:rPr>
      </w:pPr>
      <w:r w:rsidRPr="00372A28">
        <w:rPr>
          <w:rFonts w:ascii="仿宋_GB2312" w:eastAsia="仿宋_GB2312" w:hint="eastAsia"/>
          <w:kern w:val="0"/>
          <w:sz w:val="32"/>
          <w:szCs w:val="30"/>
        </w:rPr>
        <w:t>根据</w:t>
      </w:r>
      <w:r w:rsidR="00F779BC" w:rsidRPr="00372A28">
        <w:rPr>
          <w:rFonts w:ascii="仿宋_GB2312" w:eastAsia="仿宋_GB2312" w:hint="eastAsia"/>
          <w:kern w:val="0"/>
          <w:sz w:val="32"/>
          <w:szCs w:val="30"/>
        </w:rPr>
        <w:t>《中华人民共和国公司法》、《中华人民共和国商业银行法》、《商业银行股权管理暂行办法》（银保监会令〔2018〕1</w:t>
      </w:r>
      <w:r w:rsidR="00B322AB" w:rsidRPr="00372A28">
        <w:rPr>
          <w:rFonts w:ascii="仿宋_GB2312" w:eastAsia="仿宋_GB2312" w:hint="eastAsia"/>
          <w:kern w:val="0"/>
          <w:sz w:val="32"/>
          <w:szCs w:val="30"/>
        </w:rPr>
        <w:t>号）</w:t>
      </w:r>
      <w:r w:rsidR="00F779BC" w:rsidRPr="00372A28">
        <w:rPr>
          <w:rFonts w:ascii="仿宋_GB2312" w:eastAsia="仿宋_GB2312" w:hint="eastAsia"/>
          <w:kern w:val="0"/>
          <w:sz w:val="32"/>
          <w:szCs w:val="30"/>
        </w:rPr>
        <w:t>以及</w:t>
      </w:r>
      <w:r w:rsidR="009273E2" w:rsidRPr="00372A28">
        <w:rPr>
          <w:rFonts w:ascii="仿宋_GB2312" w:eastAsia="仿宋_GB2312" w:hint="eastAsia"/>
          <w:kern w:val="0"/>
          <w:sz w:val="32"/>
          <w:szCs w:val="30"/>
        </w:rPr>
        <w:t>本行章程</w:t>
      </w:r>
      <w:r w:rsidR="00B322AB" w:rsidRPr="00372A28">
        <w:rPr>
          <w:rFonts w:ascii="仿宋_GB2312" w:eastAsia="仿宋_GB2312" w:hint="eastAsia"/>
          <w:kern w:val="0"/>
          <w:sz w:val="32"/>
          <w:szCs w:val="30"/>
        </w:rPr>
        <w:t>、《江苏扬州农村商业银行股份有限公司股权管理办法》</w:t>
      </w:r>
      <w:r w:rsidRPr="00372A28">
        <w:rPr>
          <w:rFonts w:ascii="仿宋_GB2312" w:eastAsia="仿宋_GB2312" w:hint="eastAsia"/>
          <w:kern w:val="0"/>
          <w:sz w:val="32"/>
          <w:szCs w:val="30"/>
        </w:rPr>
        <w:t>等相关法律、法规规定，拟对本行</w:t>
      </w:r>
      <w:r w:rsidR="009273E2" w:rsidRPr="00372A28">
        <w:rPr>
          <w:rFonts w:ascii="仿宋_GB2312" w:eastAsia="仿宋_GB2312" w:hint="eastAsia"/>
          <w:kern w:val="0"/>
          <w:sz w:val="32"/>
          <w:szCs w:val="30"/>
        </w:rPr>
        <w:t>《江苏扬州农村商业银行股份有限公司</w:t>
      </w:r>
      <w:r w:rsidR="00F779BC" w:rsidRPr="00372A28">
        <w:rPr>
          <w:rFonts w:ascii="仿宋_GB2312" w:eastAsia="仿宋_GB2312" w:hint="eastAsia"/>
          <w:kern w:val="0"/>
          <w:sz w:val="32"/>
          <w:szCs w:val="30"/>
        </w:rPr>
        <w:t>股权</w:t>
      </w:r>
      <w:r w:rsidR="00B322AB" w:rsidRPr="00372A28">
        <w:rPr>
          <w:rFonts w:ascii="仿宋_GB2312" w:eastAsia="仿宋_GB2312" w:hint="eastAsia"/>
          <w:kern w:val="0"/>
          <w:sz w:val="32"/>
          <w:szCs w:val="30"/>
        </w:rPr>
        <w:t>托管</w:t>
      </w:r>
      <w:r w:rsidR="00F779BC" w:rsidRPr="00372A28">
        <w:rPr>
          <w:rFonts w:ascii="仿宋_GB2312" w:eastAsia="仿宋_GB2312" w:hint="eastAsia"/>
          <w:kern w:val="0"/>
          <w:sz w:val="32"/>
          <w:szCs w:val="30"/>
        </w:rPr>
        <w:t>管理办法</w:t>
      </w:r>
      <w:r w:rsidR="009273E2" w:rsidRPr="00372A28">
        <w:rPr>
          <w:rFonts w:ascii="仿宋_GB2312" w:eastAsia="仿宋_GB2312" w:hint="eastAsia"/>
          <w:kern w:val="0"/>
          <w:sz w:val="32"/>
          <w:szCs w:val="30"/>
        </w:rPr>
        <w:t>》</w:t>
      </w:r>
      <w:r w:rsidRPr="00372A28">
        <w:rPr>
          <w:rFonts w:ascii="仿宋_GB2312" w:eastAsia="仿宋_GB2312" w:hint="eastAsia"/>
          <w:kern w:val="0"/>
          <w:sz w:val="32"/>
          <w:szCs w:val="30"/>
        </w:rPr>
        <w:t>进行修订</w:t>
      </w:r>
      <w:r w:rsidR="00194B19" w:rsidRPr="00372A28">
        <w:rPr>
          <w:rFonts w:ascii="仿宋_GB2312" w:eastAsia="仿宋_GB2312" w:hint="eastAsia"/>
          <w:kern w:val="0"/>
          <w:sz w:val="32"/>
          <w:szCs w:val="30"/>
        </w:rPr>
        <w:t>，</w:t>
      </w:r>
      <w:r w:rsidR="00862908" w:rsidRPr="00372A28">
        <w:rPr>
          <w:rFonts w:ascii="仿宋_GB2312" w:eastAsia="仿宋_GB2312" w:hint="eastAsia"/>
          <w:kern w:val="0"/>
          <w:sz w:val="32"/>
          <w:szCs w:val="30"/>
        </w:rPr>
        <w:t>其主要修订情况如下表所示，请予审议。</w:t>
      </w:r>
    </w:p>
    <w:p w:rsidR="00862908" w:rsidRPr="00372A28" w:rsidRDefault="00862908" w:rsidP="00372A28">
      <w:pPr>
        <w:spacing w:line="560" w:lineRule="exact"/>
        <w:ind w:firstLineChars="192" w:firstLine="614"/>
        <w:rPr>
          <w:rFonts w:ascii="仿宋_GB2312" w:eastAsia="仿宋_GB2312"/>
          <w:kern w:val="0"/>
          <w:sz w:val="32"/>
          <w:szCs w:val="30"/>
        </w:rPr>
      </w:pPr>
    </w:p>
    <w:p w:rsidR="00372A28" w:rsidRDefault="00372A28" w:rsidP="00372A28">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提案人：扬州农商行第四届董事会</w:t>
      </w:r>
    </w:p>
    <w:p w:rsidR="00372A28" w:rsidRPr="00B060FA" w:rsidRDefault="00372A28" w:rsidP="00372A28">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24238A">
        <w:rPr>
          <w:rFonts w:ascii="仿宋_GB2312" w:eastAsia="仿宋_GB2312" w:hint="eastAsia"/>
          <w:sz w:val="32"/>
          <w:szCs w:val="32"/>
        </w:rPr>
        <w:t>27</w:t>
      </w:r>
      <w:r>
        <w:rPr>
          <w:rFonts w:ascii="仿宋_GB2312" w:eastAsia="仿宋_GB2312" w:hint="eastAsia"/>
          <w:sz w:val="32"/>
          <w:szCs w:val="32"/>
        </w:rPr>
        <w:t>日</w:t>
      </w:r>
    </w:p>
    <w:p w:rsidR="00372A28" w:rsidRPr="001C263F" w:rsidRDefault="00372A28" w:rsidP="00372A28">
      <w:pPr>
        <w:ind w:firstLineChars="200" w:firstLine="420"/>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Default="00862908" w:rsidP="00F779BC">
      <w:pPr>
        <w:spacing w:line="560" w:lineRule="exact"/>
        <w:ind w:right="600" w:firstLineChars="192" w:firstLine="576"/>
        <w:jc w:val="center"/>
        <w:rPr>
          <w:rFonts w:ascii="仿宋_GB2312" w:eastAsia="仿宋_GB2312"/>
          <w:kern w:val="0"/>
          <w:sz w:val="30"/>
          <w:szCs w:val="30"/>
        </w:rPr>
      </w:pPr>
    </w:p>
    <w:p w:rsidR="00862908" w:rsidRPr="00DF14F7" w:rsidRDefault="00862908" w:rsidP="00862908">
      <w:pPr>
        <w:spacing w:line="560" w:lineRule="exact"/>
        <w:ind w:firstLineChars="192" w:firstLine="576"/>
        <w:jc w:val="right"/>
        <w:rPr>
          <w:rFonts w:ascii="仿宋_GB2312" w:eastAsia="仿宋_GB2312"/>
          <w:kern w:val="0"/>
          <w:sz w:val="30"/>
          <w:szCs w:val="30"/>
        </w:rPr>
      </w:pPr>
    </w:p>
    <w:p w:rsidR="00862908" w:rsidRPr="00DF14F7" w:rsidRDefault="00862908" w:rsidP="00862908">
      <w:pPr>
        <w:spacing w:line="560" w:lineRule="exact"/>
        <w:ind w:firstLineChars="192" w:firstLine="576"/>
        <w:jc w:val="right"/>
        <w:rPr>
          <w:rFonts w:ascii="仿宋_GB2312" w:eastAsia="仿宋_GB2312"/>
          <w:kern w:val="0"/>
          <w:sz w:val="30"/>
          <w:szCs w:val="30"/>
        </w:rPr>
        <w:sectPr w:rsidR="00862908" w:rsidRPr="00DF14F7" w:rsidSect="00890C6B">
          <w:footerReference w:type="default" r:id="rId6"/>
          <w:pgSz w:w="11906" w:h="16838"/>
          <w:pgMar w:top="1440" w:right="1800" w:bottom="1440" w:left="1800" w:header="851" w:footer="992" w:gutter="0"/>
          <w:cols w:space="425"/>
          <w:docGrid w:type="lines" w:linePitch="312"/>
        </w:sectPr>
      </w:pPr>
    </w:p>
    <w:p w:rsidR="008C3BBC" w:rsidRPr="00862908" w:rsidRDefault="008C3BBC" w:rsidP="008C3BBC">
      <w:pPr>
        <w:spacing w:line="560" w:lineRule="exact"/>
        <w:ind w:firstLineChars="192" w:firstLine="576"/>
        <w:rPr>
          <w:rFonts w:ascii="仿宋_GB2312" w:eastAsia="仿宋_GB2312"/>
          <w:kern w:val="0"/>
          <w:sz w:val="30"/>
          <w:szCs w:val="30"/>
        </w:rPr>
      </w:pPr>
    </w:p>
    <w:tbl>
      <w:tblPr>
        <w:tblW w:w="5000" w:type="pct"/>
        <w:tblLook w:val="04A0"/>
      </w:tblPr>
      <w:tblGrid>
        <w:gridCol w:w="5939"/>
        <w:gridCol w:w="6985"/>
        <w:gridCol w:w="1250"/>
      </w:tblGrid>
      <w:tr w:rsidR="00DE30E9" w:rsidRPr="00DE30E9" w:rsidTr="00DE30E9">
        <w:trPr>
          <w:trHeight w:val="570"/>
        </w:trPr>
        <w:tc>
          <w:tcPr>
            <w:tcW w:w="20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center"/>
              <w:rPr>
                <w:rFonts w:ascii="宋体" w:hAnsi="宋体" w:cs="宋体"/>
                <w:b/>
                <w:bCs/>
                <w:color w:val="000000"/>
                <w:kern w:val="0"/>
                <w:sz w:val="22"/>
                <w:szCs w:val="22"/>
              </w:rPr>
            </w:pPr>
            <w:r w:rsidRPr="00DE30E9">
              <w:rPr>
                <w:rFonts w:ascii="宋体" w:hAnsi="宋体" w:cs="宋体" w:hint="eastAsia"/>
                <w:b/>
                <w:bCs/>
                <w:color w:val="000000"/>
                <w:kern w:val="0"/>
                <w:sz w:val="22"/>
                <w:szCs w:val="22"/>
              </w:rPr>
              <w:t>原条款</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center"/>
              <w:rPr>
                <w:rFonts w:ascii="宋体" w:hAnsi="宋体" w:cs="宋体"/>
                <w:b/>
                <w:bCs/>
                <w:color w:val="000000"/>
                <w:kern w:val="0"/>
                <w:sz w:val="22"/>
                <w:szCs w:val="22"/>
              </w:rPr>
            </w:pPr>
            <w:r w:rsidRPr="00DE30E9">
              <w:rPr>
                <w:rFonts w:ascii="宋体" w:hAnsi="宋体" w:cs="宋体" w:hint="eastAsia"/>
                <w:b/>
                <w:bCs/>
                <w:color w:val="000000"/>
                <w:kern w:val="0"/>
                <w:sz w:val="22"/>
                <w:szCs w:val="22"/>
              </w:rPr>
              <w:t>修订条款</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center"/>
              <w:rPr>
                <w:rFonts w:ascii="宋体" w:hAnsi="宋体" w:cs="宋体"/>
                <w:b/>
                <w:bCs/>
                <w:color w:val="000000"/>
                <w:kern w:val="0"/>
                <w:sz w:val="22"/>
                <w:szCs w:val="22"/>
              </w:rPr>
            </w:pPr>
            <w:r w:rsidRPr="00DE30E9">
              <w:rPr>
                <w:rFonts w:ascii="宋体" w:hAnsi="宋体" w:cs="宋体" w:hint="eastAsia"/>
                <w:b/>
                <w:bCs/>
                <w:color w:val="000000"/>
                <w:kern w:val="0"/>
                <w:sz w:val="22"/>
                <w:szCs w:val="22"/>
              </w:rPr>
              <w:t>修订依据</w:t>
            </w:r>
          </w:p>
        </w:tc>
      </w:tr>
      <w:tr w:rsidR="00DE30E9" w:rsidRPr="00DE30E9" w:rsidTr="00DE30E9">
        <w:trPr>
          <w:trHeight w:val="54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第二条  本规定适用于在扬州股权托管中心（以下简称“托管中心”）集中托管的本行股份。</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第二条  本规定适用于在</w:t>
            </w:r>
            <w:r w:rsidRPr="00DE30E9">
              <w:rPr>
                <w:rFonts w:ascii="宋体" w:hAnsi="宋体" w:cs="宋体" w:hint="eastAsia"/>
                <w:color w:val="FF0000"/>
                <w:kern w:val="0"/>
                <w:sz w:val="22"/>
                <w:szCs w:val="22"/>
              </w:rPr>
              <w:t>江苏股权交易中心有限责任公司（以下简称“股交中心”）</w:t>
            </w:r>
            <w:r w:rsidRPr="00DE30E9">
              <w:rPr>
                <w:rFonts w:ascii="宋体" w:hAnsi="宋体" w:cs="宋体" w:hint="eastAsia"/>
                <w:color w:val="000000"/>
                <w:kern w:val="0"/>
                <w:sz w:val="22"/>
                <w:szCs w:val="22"/>
              </w:rPr>
              <w:t>集中托管的本行股份。</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81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第四条  通过股权托管并借助扬州产权综合服务市场有限责任公司平台，可将拟转让股份挂牌交易，有利于拓宽股东的投资、融资渠道，提升本行的知名度和影响力。</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删除</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567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第三章  股权托管机构</w:t>
            </w:r>
            <w:r w:rsidRPr="00DE30E9">
              <w:rPr>
                <w:rFonts w:ascii="宋体" w:hAnsi="宋体" w:cs="宋体" w:hint="eastAsia"/>
                <w:color w:val="000000"/>
                <w:kern w:val="0"/>
                <w:sz w:val="22"/>
                <w:szCs w:val="22"/>
              </w:rPr>
              <w:br/>
              <w:t>第四条  托管机构需符合以下条件：</w:t>
            </w:r>
            <w:r w:rsidRPr="00DE30E9">
              <w:rPr>
                <w:rFonts w:ascii="宋体" w:hAnsi="宋体" w:cs="宋体" w:hint="eastAsia"/>
                <w:color w:val="000000"/>
                <w:kern w:val="0"/>
                <w:sz w:val="22"/>
                <w:szCs w:val="22"/>
              </w:rPr>
              <w:br/>
              <w:t>（一）在中国境内依法设立的企业法人，拥有不少于两年的登记托管业务经验（区域性股权市场运营机构除外）；</w:t>
            </w:r>
            <w:r w:rsidRPr="00DE30E9">
              <w:rPr>
                <w:rFonts w:ascii="宋体" w:hAnsi="宋体" w:cs="宋体" w:hint="eastAsia"/>
                <w:color w:val="000000"/>
                <w:kern w:val="0"/>
                <w:sz w:val="22"/>
                <w:szCs w:val="22"/>
              </w:rPr>
              <w:br/>
              <w:t>（二）具有提供股权托管服务所必须的场所和设施，具有便捷的服务网点或者符合安全要求的线上服务能力；</w:t>
            </w:r>
            <w:r w:rsidRPr="00DE30E9">
              <w:rPr>
                <w:rFonts w:ascii="宋体" w:hAnsi="宋体" w:cs="宋体" w:hint="eastAsia"/>
                <w:color w:val="000000"/>
                <w:kern w:val="0"/>
                <w:sz w:val="22"/>
                <w:szCs w:val="22"/>
              </w:rPr>
              <w:br/>
              <w:t>（三）具有熟悉商业银行股权管理法律法规以及相关监管规定的管理人员；</w:t>
            </w:r>
            <w:r w:rsidRPr="00DE30E9">
              <w:rPr>
                <w:rFonts w:ascii="宋体" w:hAnsi="宋体" w:cs="宋体" w:hint="eastAsia"/>
                <w:color w:val="000000"/>
                <w:kern w:val="0"/>
                <w:sz w:val="22"/>
                <w:szCs w:val="22"/>
              </w:rPr>
              <w:br/>
              <w:t>（四）具有健全的业务管理制度、风险防范措施和保密管理制度；</w:t>
            </w:r>
            <w:r w:rsidRPr="00DE30E9">
              <w:rPr>
                <w:rFonts w:ascii="宋体" w:hAnsi="宋体" w:cs="宋体" w:hint="eastAsia"/>
                <w:color w:val="000000"/>
                <w:kern w:val="0"/>
                <w:sz w:val="22"/>
                <w:szCs w:val="22"/>
              </w:rPr>
              <w:br/>
              <w:t>（五）具有完善的信息系统，能够保证股权信息在传输、处理、存储过程中的安全性，具有灾备能力；</w:t>
            </w:r>
            <w:r w:rsidRPr="00DE30E9">
              <w:rPr>
                <w:rFonts w:ascii="宋体" w:hAnsi="宋体" w:cs="宋体" w:hint="eastAsia"/>
                <w:color w:val="000000"/>
                <w:kern w:val="0"/>
                <w:sz w:val="22"/>
                <w:szCs w:val="22"/>
              </w:rPr>
              <w:br/>
              <w:t>（六）具备向银保监会及其派出机构报送信息和相关资料的条件与能力；</w:t>
            </w:r>
            <w:r w:rsidRPr="00DE30E9">
              <w:rPr>
                <w:rFonts w:ascii="宋体" w:hAnsi="宋体" w:cs="宋体" w:hint="eastAsia"/>
                <w:color w:val="000000"/>
                <w:kern w:val="0"/>
                <w:sz w:val="22"/>
                <w:szCs w:val="22"/>
              </w:rPr>
              <w:br/>
              <w:t>（七）能够妥善保管业务资料，原始凭证及有关文件和资料的保存期限不得少于二十年；</w:t>
            </w:r>
            <w:r w:rsidRPr="00DE30E9">
              <w:rPr>
                <w:rFonts w:ascii="宋体" w:hAnsi="宋体" w:cs="宋体" w:hint="eastAsia"/>
                <w:color w:val="000000"/>
                <w:kern w:val="0"/>
                <w:sz w:val="22"/>
                <w:szCs w:val="22"/>
              </w:rPr>
              <w:br/>
              <w:t>（八）与商业银行股权托管业务有关的业务规则、主要收费项目和收费标准公开、透明、公允；</w:t>
            </w:r>
            <w:r w:rsidRPr="00DE30E9">
              <w:rPr>
                <w:rFonts w:ascii="宋体" w:hAnsi="宋体" w:cs="宋体" w:hint="eastAsia"/>
                <w:color w:val="000000"/>
                <w:kern w:val="0"/>
                <w:sz w:val="22"/>
                <w:szCs w:val="22"/>
              </w:rPr>
              <w:br/>
              <w:t>（九）最近两年无严重违法违规行为或发生重大负面案件；</w:t>
            </w:r>
            <w:r w:rsidRPr="00DE30E9">
              <w:rPr>
                <w:rFonts w:ascii="宋体" w:hAnsi="宋体" w:cs="宋体" w:hint="eastAsia"/>
                <w:color w:val="000000"/>
                <w:kern w:val="0"/>
                <w:sz w:val="22"/>
                <w:szCs w:val="22"/>
              </w:rPr>
              <w:br/>
              <w:t>（十）银保监会认为应当具备的其他条件。</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《商业银行股权托管办法》第7条</w:t>
            </w:r>
          </w:p>
        </w:tc>
      </w:tr>
      <w:tr w:rsidR="00DE30E9" w:rsidRPr="00DE30E9" w:rsidTr="00DE30E9">
        <w:trPr>
          <w:trHeight w:val="432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第五条  股权托管机构应具备完善的信息系统，信息系统应符合以下要求：</w:t>
            </w:r>
            <w:r w:rsidRPr="00DE30E9">
              <w:rPr>
                <w:rFonts w:ascii="宋体" w:hAnsi="宋体" w:cs="宋体" w:hint="eastAsia"/>
                <w:color w:val="000000"/>
                <w:kern w:val="0"/>
                <w:sz w:val="22"/>
                <w:szCs w:val="22"/>
              </w:rPr>
              <w:br/>
              <w:t>（一）能够完整支持托管机构按照本办法规定提供各项股权托管服务，系统服务能力应能满足本行股权托管业务的实际需要；</w:t>
            </w:r>
            <w:r w:rsidRPr="00DE30E9">
              <w:rPr>
                <w:rFonts w:ascii="宋体" w:hAnsi="宋体" w:cs="宋体" w:hint="eastAsia"/>
                <w:color w:val="000000"/>
                <w:kern w:val="0"/>
                <w:sz w:val="22"/>
                <w:szCs w:val="22"/>
              </w:rPr>
              <w:br/>
              <w:t>（二）股权托管业务使用的服务器和存储设备应自主维护、管理；</w:t>
            </w:r>
            <w:r w:rsidRPr="00DE30E9">
              <w:rPr>
                <w:rFonts w:ascii="宋体" w:hAnsi="宋体" w:cs="宋体" w:hint="eastAsia"/>
                <w:color w:val="000000"/>
                <w:kern w:val="0"/>
                <w:sz w:val="22"/>
                <w:szCs w:val="22"/>
              </w:rPr>
              <w:br/>
              <w:t>（三）系统安全稳定运行，未出现重大故障且未发现重大安全隐患；</w:t>
            </w:r>
            <w:r w:rsidRPr="00DE30E9">
              <w:rPr>
                <w:rFonts w:ascii="宋体" w:hAnsi="宋体" w:cs="宋体" w:hint="eastAsia"/>
                <w:color w:val="000000"/>
                <w:kern w:val="0"/>
                <w:sz w:val="22"/>
                <w:szCs w:val="22"/>
              </w:rPr>
              <w:br/>
              <w:t>（四）业务连续性应能满足银行股权管理的连续性要求，具有能够全面接管业务并能独立运行的灾备系统。</w:t>
            </w:r>
            <w:r w:rsidRPr="00DE30E9">
              <w:rPr>
                <w:rFonts w:ascii="宋体" w:hAnsi="宋体" w:cs="宋体" w:hint="eastAsia"/>
                <w:color w:val="000000"/>
                <w:kern w:val="0"/>
                <w:sz w:val="22"/>
                <w:szCs w:val="22"/>
              </w:rPr>
              <w:br/>
              <w:t>（五）能够保留完整的系统操作记录和业务历史信息，并配合银保监会及其派出机构的检查；</w:t>
            </w:r>
            <w:r w:rsidRPr="00DE30E9">
              <w:rPr>
                <w:rFonts w:ascii="宋体" w:hAnsi="宋体" w:cs="宋体" w:hint="eastAsia"/>
                <w:color w:val="000000"/>
                <w:kern w:val="0"/>
                <w:sz w:val="22"/>
                <w:szCs w:val="22"/>
              </w:rPr>
              <w:br/>
              <w:t>（六）能够支持按照本办法的要求和银保监会制定的数据标准报送银行股权托管信息。</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《商业银行股权托管办法》第8条</w:t>
            </w:r>
          </w:p>
        </w:tc>
      </w:tr>
      <w:tr w:rsidR="00DE30E9" w:rsidRPr="00DE30E9" w:rsidTr="00DE30E9">
        <w:trPr>
          <w:trHeight w:val="54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第六条  托管机构应对处理商业银行股权事务过程中所获取的数据和资料予以保密。</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《商业银行股权托管办法》第9条</w:t>
            </w:r>
          </w:p>
        </w:tc>
      </w:tr>
      <w:tr w:rsidR="00DE30E9" w:rsidRPr="00DE30E9" w:rsidTr="00DE30E9">
        <w:trPr>
          <w:trHeight w:val="351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第七条  有下列情形之一的，本行应及时更换托管机构：</w:t>
            </w:r>
            <w:r w:rsidRPr="00DE30E9">
              <w:rPr>
                <w:rFonts w:ascii="宋体" w:hAnsi="宋体" w:cs="宋体" w:hint="eastAsia"/>
                <w:color w:val="000000"/>
                <w:kern w:val="0"/>
                <w:sz w:val="22"/>
                <w:szCs w:val="22"/>
              </w:rPr>
              <w:br/>
              <w:t>（一）因在合法交易场所上市或挂牌，按照法律法规规定必须到其他机构登记存管股权的；</w:t>
            </w:r>
            <w:r w:rsidRPr="00DE30E9">
              <w:rPr>
                <w:rFonts w:ascii="宋体" w:hAnsi="宋体" w:cs="宋体" w:hint="eastAsia"/>
                <w:color w:val="000000"/>
                <w:kern w:val="0"/>
                <w:sz w:val="22"/>
                <w:szCs w:val="22"/>
              </w:rPr>
              <w:br/>
              <w:t>（二）托管机构法人主体资格消亡，或者发生合并重组，且新的主体不符合本办法规定的资质条件的；</w:t>
            </w:r>
            <w:r w:rsidRPr="00DE30E9">
              <w:rPr>
                <w:rFonts w:ascii="宋体" w:hAnsi="宋体" w:cs="宋体" w:hint="eastAsia"/>
                <w:color w:val="000000"/>
                <w:kern w:val="0"/>
                <w:sz w:val="22"/>
                <w:szCs w:val="22"/>
              </w:rPr>
              <w:br/>
              <w:t>（三）托管机构违反服务协议，对商业银行和商业银行股东的利益造成损害的；</w:t>
            </w:r>
            <w:r w:rsidRPr="00DE30E9">
              <w:rPr>
                <w:rFonts w:ascii="宋体" w:hAnsi="宋体" w:cs="宋体" w:hint="eastAsia"/>
                <w:color w:val="000000"/>
                <w:kern w:val="0"/>
                <w:sz w:val="22"/>
                <w:szCs w:val="22"/>
              </w:rPr>
              <w:br/>
              <w:t>（四）托管机构被银保监会列入黑名单的；</w:t>
            </w:r>
            <w:r w:rsidRPr="00DE30E9">
              <w:rPr>
                <w:rFonts w:ascii="宋体" w:hAnsi="宋体" w:cs="宋体" w:hint="eastAsia"/>
                <w:color w:val="000000"/>
                <w:kern w:val="0"/>
                <w:sz w:val="22"/>
                <w:szCs w:val="22"/>
              </w:rPr>
              <w:br/>
              <w:t>（五）银保监会或其派出机构认为应更换托管机构的其他情形。</w:t>
            </w:r>
            <w:r w:rsidRPr="00DE30E9">
              <w:rPr>
                <w:rFonts w:ascii="宋体" w:hAnsi="宋体" w:cs="宋体" w:hint="eastAsia"/>
                <w:color w:val="000000"/>
                <w:kern w:val="0"/>
                <w:sz w:val="22"/>
                <w:szCs w:val="22"/>
              </w:rPr>
              <w:br/>
              <w:t>发生前款规定情形的，托管机构应当妥善保管本行股权信息，并根据本行要求向更换后的托管机构移交相关信息及资料。</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《商业银行股权托管办法》第15条</w:t>
            </w:r>
          </w:p>
        </w:tc>
      </w:tr>
      <w:tr w:rsidR="00DE30E9" w:rsidRPr="00DE30E9" w:rsidTr="00DE30E9">
        <w:trPr>
          <w:trHeight w:val="486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第五条  托管中心为本行提供股权登记、股权管理等全部托管业务服务。</w:t>
            </w:r>
            <w:r w:rsidRPr="00DE30E9">
              <w:rPr>
                <w:rFonts w:ascii="宋体" w:hAnsi="宋体" w:cs="宋体" w:hint="eastAsia"/>
                <w:color w:val="000000"/>
                <w:kern w:val="0"/>
                <w:sz w:val="22"/>
                <w:szCs w:val="22"/>
              </w:rPr>
              <w:br/>
              <w:t>1.股权登记业务包括：股权初始登记、股权变更登记、股权质押登记、股权注销登记等；</w:t>
            </w:r>
            <w:r w:rsidRPr="00DE30E9">
              <w:rPr>
                <w:rFonts w:ascii="宋体" w:hAnsi="宋体" w:cs="宋体" w:hint="eastAsia"/>
                <w:color w:val="000000"/>
                <w:kern w:val="0"/>
                <w:sz w:val="22"/>
                <w:szCs w:val="22"/>
              </w:rPr>
              <w:br/>
              <w:t>2.股权管理业务包括：办理托管凭证、托管凭证挂失、股权查询、股权管理信息披露、股权依法冻结与解冻、代理权益分派、股份证明、股东信息资料变更等。</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第八条  股交中心提供的股权登记托管服务的内容：</w:t>
            </w:r>
            <w:r w:rsidRPr="00DE30E9">
              <w:rPr>
                <w:rFonts w:ascii="宋体" w:hAnsi="宋体" w:cs="宋体" w:hint="eastAsia"/>
                <w:color w:val="000000"/>
                <w:kern w:val="0"/>
                <w:sz w:val="22"/>
                <w:szCs w:val="22"/>
              </w:rPr>
              <w:br/>
              <w:t>1.初始登记。签署股权登记托管协议、提交股权托管申请材料、股交中心审核、股交中心办理登记手续、股交中心出具业务凭证；</w:t>
            </w:r>
            <w:r w:rsidRPr="00DE30E9">
              <w:rPr>
                <w:rFonts w:ascii="宋体" w:hAnsi="宋体" w:cs="宋体" w:hint="eastAsia"/>
                <w:color w:val="000000"/>
                <w:kern w:val="0"/>
                <w:sz w:val="22"/>
                <w:szCs w:val="22"/>
              </w:rPr>
              <w:br/>
              <w:t>2.过户登记。股东提交申请材料、本行审核并出具审核意见、股交中心审核、股交中心办理变更登记手续、股交中心出具业务凭证；</w:t>
            </w:r>
            <w:r w:rsidRPr="00DE30E9">
              <w:rPr>
                <w:rFonts w:ascii="宋体" w:hAnsi="宋体" w:cs="宋体" w:hint="eastAsia"/>
                <w:color w:val="000000"/>
                <w:kern w:val="0"/>
                <w:sz w:val="22"/>
                <w:szCs w:val="22"/>
              </w:rPr>
              <w:br/>
              <w:t>3.质押登记。股东提交申请材料、本行审核并出具审核意见、股交中心审核、股交中心办理质押登记手续、股交中心出具业务凭证；</w:t>
            </w:r>
            <w:r w:rsidRPr="00DE30E9">
              <w:rPr>
                <w:rFonts w:ascii="宋体" w:hAnsi="宋体" w:cs="宋体" w:hint="eastAsia"/>
                <w:color w:val="000000"/>
                <w:kern w:val="0"/>
                <w:sz w:val="22"/>
                <w:szCs w:val="22"/>
              </w:rPr>
              <w:br/>
              <w:t>4.协助司法冻结。人民法院或有权机关工作人员提出申请并提交相关材料、股交中心审核、股交中心同步报送本行、股交中心办理、股交中心出具凭证；</w:t>
            </w:r>
            <w:r w:rsidRPr="00DE30E9">
              <w:rPr>
                <w:rFonts w:ascii="宋体" w:hAnsi="宋体" w:cs="宋体" w:hint="eastAsia"/>
                <w:color w:val="000000"/>
                <w:kern w:val="0"/>
                <w:sz w:val="22"/>
                <w:szCs w:val="22"/>
              </w:rPr>
              <w:br/>
              <w:t>5.增值服务。挂牌交易，在交易市场组织下，买方或卖方通过交易市场电子交易系统，按照股交中心规则进行转让、可转债和定向增资服务；</w:t>
            </w:r>
            <w:r w:rsidRPr="00DE30E9">
              <w:rPr>
                <w:rFonts w:ascii="宋体" w:hAnsi="宋体" w:cs="宋体" w:hint="eastAsia"/>
                <w:color w:val="000000"/>
                <w:kern w:val="0"/>
                <w:sz w:val="22"/>
                <w:szCs w:val="22"/>
              </w:rPr>
              <w:br/>
              <w:t>6.其他相关的服务。</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270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第六条  股份转让条件</w:t>
            </w:r>
            <w:r w:rsidRPr="00DE30E9">
              <w:rPr>
                <w:rFonts w:ascii="宋体" w:hAnsi="宋体" w:cs="宋体" w:hint="eastAsia"/>
                <w:color w:val="000000"/>
                <w:kern w:val="0"/>
                <w:sz w:val="22"/>
                <w:szCs w:val="22"/>
              </w:rPr>
              <w:br/>
              <w:t>1.已由托管中心确权及托管，并取得股权托管凭证的股份；</w:t>
            </w:r>
            <w:r w:rsidRPr="00DE30E9">
              <w:rPr>
                <w:rFonts w:ascii="宋体" w:hAnsi="宋体" w:cs="宋体" w:hint="eastAsia"/>
                <w:color w:val="000000"/>
                <w:kern w:val="0"/>
                <w:sz w:val="22"/>
                <w:szCs w:val="22"/>
              </w:rPr>
              <w:br/>
              <w:t>2.冻结股份不能转让，质押股份经质押权人同意后方可转让；</w:t>
            </w:r>
            <w:r w:rsidRPr="00DE30E9">
              <w:rPr>
                <w:rFonts w:ascii="宋体" w:hAnsi="宋体" w:cs="宋体" w:hint="eastAsia"/>
                <w:color w:val="000000"/>
                <w:kern w:val="0"/>
                <w:sz w:val="22"/>
                <w:szCs w:val="22"/>
              </w:rPr>
              <w:br/>
              <w:t>3.国有股权转让须按照国有资产产权转让管理的有关规定办理；</w:t>
            </w:r>
            <w:r w:rsidRPr="00DE30E9">
              <w:rPr>
                <w:rFonts w:ascii="宋体" w:hAnsi="宋体" w:cs="宋体" w:hint="eastAsia"/>
                <w:color w:val="000000"/>
                <w:kern w:val="0"/>
                <w:sz w:val="22"/>
                <w:szCs w:val="22"/>
              </w:rPr>
              <w:br/>
              <w:t>4.符合《公司法》、《商业银行法》、《银行业监督管理法》、《中国银监会农村中小金融机构行政许可事项实施办法》等相关法律、法规及规定，本行章程中对股份转让另有规定的从其规定。</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第九条  股份转让条件</w:t>
            </w:r>
            <w:r w:rsidRPr="00DE30E9">
              <w:rPr>
                <w:rFonts w:ascii="宋体" w:hAnsi="宋体" w:cs="宋体" w:hint="eastAsia"/>
                <w:color w:val="000000"/>
                <w:kern w:val="0"/>
                <w:sz w:val="22"/>
                <w:szCs w:val="22"/>
              </w:rPr>
              <w:br/>
            </w:r>
            <w:r w:rsidRPr="00DE30E9">
              <w:rPr>
                <w:rFonts w:ascii="宋体" w:hAnsi="宋体" w:cs="宋体" w:hint="eastAsia"/>
                <w:color w:val="FF0000"/>
                <w:kern w:val="0"/>
                <w:sz w:val="22"/>
                <w:szCs w:val="22"/>
              </w:rPr>
              <w:t>1.已由股交中心确权及托管；</w:t>
            </w:r>
            <w:r w:rsidRPr="00DE30E9">
              <w:rPr>
                <w:rFonts w:ascii="宋体" w:hAnsi="宋体" w:cs="宋体" w:hint="eastAsia"/>
                <w:color w:val="000000"/>
                <w:kern w:val="0"/>
                <w:sz w:val="22"/>
                <w:szCs w:val="22"/>
              </w:rPr>
              <w:br/>
              <w:t>2.冻结股份不能转让，质押股份经质押权人同意后方可转让；</w:t>
            </w:r>
            <w:r w:rsidRPr="00DE30E9">
              <w:rPr>
                <w:rFonts w:ascii="宋体" w:hAnsi="宋体" w:cs="宋体" w:hint="eastAsia"/>
                <w:color w:val="000000"/>
                <w:kern w:val="0"/>
                <w:sz w:val="22"/>
                <w:szCs w:val="22"/>
              </w:rPr>
              <w:br/>
              <w:t>3.国有股权转让须按照国有资产产权转让管理的有关规定办理；</w:t>
            </w:r>
            <w:r w:rsidRPr="00DE30E9">
              <w:rPr>
                <w:rFonts w:ascii="宋体" w:hAnsi="宋体" w:cs="宋体" w:hint="eastAsia"/>
                <w:color w:val="000000"/>
                <w:kern w:val="0"/>
                <w:sz w:val="22"/>
                <w:szCs w:val="22"/>
              </w:rPr>
              <w:br/>
              <w:t>4.符合《公司法》、《商业银行法》、《银行业监督管理法》、《中国银监会农村中小金融机构行政许可事项实施办法》等相关法律、法规及规定，本行章程中对股份转让另有规定的从其规定。</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270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第七条  股份转让方式</w:t>
            </w:r>
            <w:r w:rsidRPr="00DE30E9">
              <w:rPr>
                <w:rFonts w:ascii="宋体" w:hAnsi="宋体" w:cs="宋体" w:hint="eastAsia"/>
                <w:color w:val="000000"/>
                <w:kern w:val="0"/>
                <w:sz w:val="22"/>
                <w:szCs w:val="22"/>
              </w:rPr>
              <w:br/>
              <w:t>1.挂牌竞价转让。股东可通过托管中心将其持有的股份在扬州产权综合服务市场有限责任公司挂牌转让，托管中心经本行授权，有权对受让方进行资格审查。</w:t>
            </w:r>
            <w:r w:rsidRPr="00DE30E9">
              <w:rPr>
                <w:rFonts w:ascii="宋体" w:hAnsi="宋体" w:cs="宋体" w:hint="eastAsia"/>
                <w:color w:val="000000"/>
                <w:kern w:val="0"/>
                <w:sz w:val="22"/>
                <w:szCs w:val="22"/>
              </w:rPr>
              <w:br/>
              <w:t>2.协议转让。股东有意转让部分或全部股份，并与意向受让方关于股份转让事宜达成一致意见；</w:t>
            </w:r>
            <w:r w:rsidRPr="00DE30E9">
              <w:rPr>
                <w:rFonts w:ascii="宋体" w:hAnsi="宋体" w:cs="宋体" w:hint="eastAsia"/>
                <w:color w:val="000000"/>
                <w:kern w:val="0"/>
                <w:sz w:val="22"/>
                <w:szCs w:val="22"/>
              </w:rPr>
              <w:br/>
              <w:t>3.司法裁定中所涉股份转让；</w:t>
            </w:r>
            <w:r w:rsidRPr="00DE30E9">
              <w:rPr>
                <w:rFonts w:ascii="宋体" w:hAnsi="宋体" w:cs="宋体" w:hint="eastAsia"/>
                <w:color w:val="000000"/>
                <w:kern w:val="0"/>
                <w:sz w:val="22"/>
                <w:szCs w:val="22"/>
              </w:rPr>
              <w:br/>
              <w:t>4.经公证的《离婚协议书》约定转让股份；</w:t>
            </w:r>
            <w:r w:rsidRPr="00DE30E9">
              <w:rPr>
                <w:rFonts w:ascii="宋体" w:hAnsi="宋体" w:cs="宋体" w:hint="eastAsia"/>
                <w:color w:val="000000"/>
                <w:kern w:val="0"/>
                <w:sz w:val="22"/>
                <w:szCs w:val="22"/>
              </w:rPr>
              <w:br/>
              <w:t>5.经公证的遗产继承、财产赠予所涉股份转让。</w:t>
            </w:r>
            <w:r w:rsidRPr="00DE30E9">
              <w:rPr>
                <w:rFonts w:ascii="宋体" w:hAnsi="宋体" w:cs="宋体" w:hint="eastAsia"/>
                <w:color w:val="000000"/>
                <w:kern w:val="0"/>
                <w:sz w:val="22"/>
                <w:szCs w:val="22"/>
              </w:rPr>
              <w:br/>
              <w:t>6.其他依法转让股份的方式。</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第十条  股份转让方式</w:t>
            </w:r>
            <w:r w:rsidRPr="00DE30E9">
              <w:rPr>
                <w:rFonts w:ascii="宋体" w:hAnsi="宋体" w:cs="宋体" w:hint="eastAsia"/>
                <w:color w:val="000000"/>
                <w:kern w:val="0"/>
                <w:sz w:val="22"/>
                <w:szCs w:val="22"/>
              </w:rPr>
              <w:br/>
              <w:t>1.协议转让。股东有意转让部分或全部股份，并与意向受让方关于股份转让事宜达成一致意见；</w:t>
            </w:r>
            <w:r w:rsidRPr="00DE30E9">
              <w:rPr>
                <w:rFonts w:ascii="宋体" w:hAnsi="宋体" w:cs="宋体" w:hint="eastAsia"/>
                <w:color w:val="000000"/>
                <w:kern w:val="0"/>
                <w:sz w:val="22"/>
                <w:szCs w:val="22"/>
              </w:rPr>
              <w:br/>
            </w:r>
            <w:r w:rsidRPr="00DE30E9">
              <w:rPr>
                <w:rFonts w:ascii="宋体" w:hAnsi="宋体" w:cs="宋体" w:hint="eastAsia"/>
                <w:color w:val="FF0000"/>
                <w:kern w:val="0"/>
                <w:sz w:val="22"/>
                <w:szCs w:val="22"/>
              </w:rPr>
              <w:t>2.由于司法判决、调解、裁定以及仲裁裁决、调解所涉股份转让；</w:t>
            </w:r>
            <w:r w:rsidRPr="00DE30E9">
              <w:rPr>
                <w:rFonts w:ascii="宋体" w:hAnsi="宋体" w:cs="宋体" w:hint="eastAsia"/>
                <w:color w:val="FF0000"/>
                <w:kern w:val="0"/>
                <w:sz w:val="22"/>
                <w:szCs w:val="22"/>
              </w:rPr>
              <w:br/>
              <w:t>3.由于离婚导致财产分割所涉及的股权转让；</w:t>
            </w:r>
            <w:r w:rsidRPr="00DE30E9">
              <w:rPr>
                <w:rFonts w:ascii="宋体" w:hAnsi="宋体" w:cs="宋体" w:hint="eastAsia"/>
                <w:color w:val="000000"/>
                <w:kern w:val="0"/>
                <w:sz w:val="22"/>
                <w:szCs w:val="22"/>
              </w:rPr>
              <w:br/>
              <w:t>4.经公证的遗产继承、财产赠予所涉股份转让。</w:t>
            </w:r>
            <w:r w:rsidRPr="00DE30E9">
              <w:rPr>
                <w:rFonts w:ascii="宋体" w:hAnsi="宋体" w:cs="宋体" w:hint="eastAsia"/>
                <w:color w:val="000000"/>
                <w:kern w:val="0"/>
                <w:sz w:val="22"/>
                <w:szCs w:val="22"/>
              </w:rPr>
              <w:br/>
              <w:t>5.其他依法转让股份的方式。</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270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第十二条  股份转让特别规定</w:t>
            </w:r>
            <w:r w:rsidRPr="00DE30E9">
              <w:rPr>
                <w:rFonts w:ascii="宋体" w:hAnsi="宋体" w:cs="宋体" w:hint="eastAsia"/>
                <w:color w:val="000000"/>
                <w:kern w:val="0"/>
                <w:sz w:val="22"/>
                <w:szCs w:val="22"/>
              </w:rPr>
              <w:br/>
              <w:t>1.法人股东转让其所持部分法人股份的，受让方须为本行法人股东。</w:t>
            </w:r>
            <w:r w:rsidRPr="00DE30E9">
              <w:rPr>
                <w:rFonts w:ascii="宋体" w:hAnsi="宋体" w:cs="宋体" w:hint="eastAsia"/>
                <w:color w:val="000000"/>
                <w:kern w:val="0"/>
                <w:sz w:val="22"/>
                <w:szCs w:val="22"/>
              </w:rPr>
              <w:br/>
              <w:t>2.法人股东转让其所持全部法人股份的，受让方须为本行法人股东或其他单个符合受让条件的企业法人。</w:t>
            </w:r>
            <w:r w:rsidRPr="00DE30E9">
              <w:rPr>
                <w:rFonts w:ascii="宋体" w:hAnsi="宋体" w:cs="宋体" w:hint="eastAsia"/>
                <w:color w:val="000000"/>
                <w:kern w:val="0"/>
                <w:sz w:val="22"/>
                <w:szCs w:val="22"/>
              </w:rPr>
              <w:br/>
              <w:t>3.自然人股东转让其所持部分股份的，受让方须为本行股东。</w:t>
            </w:r>
            <w:r w:rsidRPr="00DE30E9">
              <w:rPr>
                <w:rFonts w:ascii="宋体" w:hAnsi="宋体" w:cs="宋体" w:hint="eastAsia"/>
                <w:color w:val="000000"/>
                <w:kern w:val="0"/>
                <w:sz w:val="22"/>
                <w:szCs w:val="22"/>
              </w:rPr>
              <w:br/>
              <w:t>4.自然人股东转让其所持全部股份的，受让方须为本行股东或其他单个符合受让条件的企业法人或自然人。</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第十五条  股份转让特别规定</w:t>
            </w:r>
            <w:r w:rsidRPr="00DE30E9">
              <w:rPr>
                <w:rFonts w:ascii="宋体" w:hAnsi="宋体" w:cs="宋体" w:hint="eastAsia"/>
                <w:color w:val="000000"/>
                <w:kern w:val="0"/>
                <w:sz w:val="22"/>
                <w:szCs w:val="22"/>
              </w:rPr>
              <w:br/>
              <w:t>（1）法人股东转让其所持部分法人股份的，受让方原则上须为本行法人股东。</w:t>
            </w:r>
            <w:r w:rsidRPr="00DE30E9">
              <w:rPr>
                <w:rFonts w:ascii="宋体" w:hAnsi="宋体" w:cs="宋体" w:hint="eastAsia"/>
                <w:color w:val="000000"/>
                <w:kern w:val="0"/>
                <w:sz w:val="22"/>
                <w:szCs w:val="22"/>
              </w:rPr>
              <w:br/>
              <w:t>（2）法人股东转让其所持全部法人股份的，受让方原则上须为本行法人股东或其他单个符合受让条件的企业法人。</w:t>
            </w:r>
            <w:r w:rsidRPr="00DE30E9">
              <w:rPr>
                <w:rFonts w:ascii="宋体" w:hAnsi="宋体" w:cs="宋体" w:hint="eastAsia"/>
                <w:color w:val="000000"/>
                <w:kern w:val="0"/>
                <w:sz w:val="22"/>
                <w:szCs w:val="22"/>
              </w:rPr>
              <w:br/>
              <w:t>（3）自然人股东转让其所持部分股份的，受让方原则上须为本行股东。</w:t>
            </w:r>
            <w:r w:rsidRPr="00DE30E9">
              <w:rPr>
                <w:rFonts w:ascii="宋体" w:hAnsi="宋体" w:cs="宋体" w:hint="eastAsia"/>
                <w:color w:val="000000"/>
                <w:kern w:val="0"/>
                <w:sz w:val="22"/>
                <w:szCs w:val="22"/>
              </w:rPr>
              <w:br/>
              <w:t>（4）自然人股东转让其所持全部股份的，受让方原则上须为本行股东或其他单个符合受让条件的企业法人或自然人。</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378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第十三条  股东挂牌转让、协议转让、司法裁定、经公证的离婚协议、遗产继承、赠予所涉股权转让以及经本行董事会同意的质押登记均需到托管中心办理股份登记手续。</w:t>
            </w:r>
            <w:r w:rsidRPr="00DE30E9">
              <w:rPr>
                <w:rFonts w:ascii="宋体" w:hAnsi="宋体" w:cs="宋体" w:hint="eastAsia"/>
                <w:color w:val="000000"/>
                <w:kern w:val="0"/>
                <w:sz w:val="22"/>
                <w:szCs w:val="22"/>
              </w:rPr>
              <w:br/>
              <w:t>第十四条  转、受让双方共同向托管中心提交《股权变更登记申请书》及其他所需相关材料。</w:t>
            </w:r>
            <w:r w:rsidRPr="00DE30E9">
              <w:rPr>
                <w:rFonts w:ascii="宋体" w:hAnsi="宋体" w:cs="宋体" w:hint="eastAsia"/>
                <w:color w:val="000000"/>
                <w:kern w:val="0"/>
                <w:sz w:val="22"/>
                <w:szCs w:val="22"/>
              </w:rPr>
              <w:br/>
              <w:t>第十五条  托管中心对照本办法第四章、第五章的有关规定，负责对受让方的合规性及其它材料的真实性和合法性进行审核，对符合要求的，报经本行董事会同意后予以办理，并出具变更后的股权托管凭证；股东持有股份全部转让的，其托管凭证由托管中心收回并注销。</w:t>
            </w:r>
            <w:r w:rsidRPr="00DE30E9">
              <w:rPr>
                <w:rFonts w:ascii="宋体" w:hAnsi="宋体" w:cs="宋体" w:hint="eastAsia"/>
                <w:color w:val="000000"/>
                <w:kern w:val="0"/>
                <w:sz w:val="22"/>
                <w:szCs w:val="22"/>
              </w:rPr>
              <w:br/>
              <w:t>第十六条  托管中心负责按季向本行董事会办公室报送当季股权变更登记相关资料和季度末股东清册等资料进行备案，并负责在每年的年度终了向本行董事会递交年度股权托管情况报告。</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删除</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297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第十七条  本行股权转让应遵循自愿、平等、诚实、信用的原则。股权转让办理流程：当事人应事先向本行董事会办公室提供股金证原件、双方证件原件、征信报告等本办法规定的相应材料，进行双录签订《股权转让协议书》，办理股权转让的相关申请手续，董事会办公室负责受理、初步审查，出具股金转让审批表。由风险管理部从信贷资产安全和关联交易风险管理角度进行审查，董事会或董事会授权董事长审批后，董事会办公室及时将转让信息报送至江苏股权交易中心，审核通过后，交运营管理部清算中心进行账务处理、打印新证加盖印章，董事会办公室通知受让人（代理人）凭有效身份证明领取新证，做好交接手续。</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378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lastRenderedPageBreak/>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第十八条  本行股东以本行股份为自己或他人办理质押担保，遵照以下程序办理：（1）向本行董事会办公室提出股份出质申请书，填写《股份质押登记申请表》，并提交股份质押登记对应的质押合同原件及复印件，出质人股权凭证原件及复印件，出质人有效证件原件及复印件，质权人同意出质人将本行股权质押的书面证明原件，其他相关材料。（2）董事会办公室对股份质押申请进行合规性初审，并提交董事会审批。（3）完成审批流程后，质押双方应到工商注册登记机关办理股份质押登记，并向本行董事会办公室提交工商注册登记机关出具的股份出质登记证明文件。（4）本行董事会办公室将工商部门出具的《股份出质设立登记通知书》交清算中心办理股份出质登记记载，清算中心在系统中将出质股权予以冻结。（5）自然人股东办理股份质押担保申请，由本人办理，不得委托他人办理。法人股东办理股份质押担保申请，可以委托经办人员办理。</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r w:rsidR="00DE30E9" w:rsidRPr="00DE30E9" w:rsidTr="00DE30E9">
        <w:trPr>
          <w:trHeight w:val="1080"/>
        </w:trPr>
        <w:tc>
          <w:tcPr>
            <w:tcW w:w="2095" w:type="pct"/>
            <w:tcBorders>
              <w:top w:val="nil"/>
              <w:left w:val="single" w:sz="4" w:space="0" w:color="auto"/>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新增</w:t>
            </w:r>
          </w:p>
        </w:tc>
        <w:tc>
          <w:tcPr>
            <w:tcW w:w="2464"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第十九条  股交中心负责向本行董事会办公室按需提供股权变更登记相关资料和股东清册等资料，按季度与董事会办公室核对系统中托管数据，确认登记后发生的过户、质押、冻结、股份变动、信息变更等登记情况。</w:t>
            </w:r>
          </w:p>
        </w:tc>
        <w:tc>
          <w:tcPr>
            <w:tcW w:w="441" w:type="pct"/>
            <w:tcBorders>
              <w:top w:val="nil"/>
              <w:left w:val="nil"/>
              <w:bottom w:val="single" w:sz="4" w:space="0" w:color="auto"/>
              <w:right w:val="single" w:sz="4" w:space="0" w:color="auto"/>
            </w:tcBorders>
            <w:shd w:val="clear" w:color="auto" w:fill="auto"/>
            <w:vAlign w:val="center"/>
            <w:hideMark/>
          </w:tcPr>
          <w:p w:rsidR="00DE30E9" w:rsidRPr="00DE30E9" w:rsidRDefault="00DE30E9" w:rsidP="00DE30E9">
            <w:pPr>
              <w:widowControl/>
              <w:jc w:val="left"/>
              <w:rPr>
                <w:rFonts w:ascii="宋体" w:hAnsi="宋体" w:cs="宋体"/>
                <w:color w:val="000000"/>
                <w:kern w:val="0"/>
                <w:sz w:val="22"/>
                <w:szCs w:val="22"/>
              </w:rPr>
            </w:pPr>
            <w:r w:rsidRPr="00DE30E9">
              <w:rPr>
                <w:rFonts w:ascii="宋体" w:hAnsi="宋体" w:cs="宋体" w:hint="eastAsia"/>
                <w:color w:val="000000"/>
                <w:kern w:val="0"/>
                <w:sz w:val="22"/>
                <w:szCs w:val="22"/>
              </w:rPr>
              <w:t>本行实际</w:t>
            </w:r>
          </w:p>
        </w:tc>
      </w:tr>
    </w:tbl>
    <w:p w:rsidR="00AD7A81" w:rsidRPr="0062587D" w:rsidRDefault="00AD7A81" w:rsidP="00862908">
      <w:pPr>
        <w:widowControl/>
        <w:snapToGrid w:val="0"/>
        <w:spacing w:line="560" w:lineRule="exact"/>
        <w:rPr>
          <w:rFonts w:ascii="仿宋_GB2312" w:eastAsia="仿宋_GB2312" w:hAnsi="宋体"/>
          <w:bCs/>
          <w:kern w:val="0"/>
          <w:sz w:val="30"/>
          <w:szCs w:val="30"/>
        </w:rPr>
      </w:pPr>
    </w:p>
    <w:sectPr w:rsidR="00AD7A81" w:rsidRPr="0062587D" w:rsidSect="00862908">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B37" w:rsidRDefault="00C81B37" w:rsidP="00042E04">
      <w:r>
        <w:separator/>
      </w:r>
    </w:p>
  </w:endnote>
  <w:endnote w:type="continuationSeparator" w:id="1">
    <w:p w:rsidR="00C81B37" w:rsidRDefault="00C81B37" w:rsidP="00042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908" w:rsidRPr="00042E04" w:rsidRDefault="00862908" w:rsidP="00042E04">
    <w:pPr>
      <w:pStyle w:val="a4"/>
      <w:jc w:val="center"/>
      <w:rPr>
        <w:sz w:val="24"/>
        <w:szCs w:val="24"/>
      </w:rPr>
    </w:pPr>
    <w:r w:rsidRPr="00652812">
      <w:rPr>
        <w:kern w:val="0"/>
        <w:sz w:val="24"/>
        <w:szCs w:val="24"/>
      </w:rPr>
      <w:t xml:space="preserve">- </w:t>
    </w:r>
    <w:r w:rsidR="00430B64" w:rsidRPr="00652812">
      <w:rPr>
        <w:kern w:val="0"/>
        <w:sz w:val="24"/>
        <w:szCs w:val="24"/>
      </w:rPr>
      <w:fldChar w:fldCharType="begin"/>
    </w:r>
    <w:r w:rsidRPr="00652812">
      <w:rPr>
        <w:kern w:val="0"/>
        <w:sz w:val="24"/>
        <w:szCs w:val="24"/>
      </w:rPr>
      <w:instrText xml:space="preserve"> PAGE </w:instrText>
    </w:r>
    <w:r w:rsidR="00430B64" w:rsidRPr="00652812">
      <w:rPr>
        <w:kern w:val="0"/>
        <w:sz w:val="24"/>
        <w:szCs w:val="24"/>
      </w:rPr>
      <w:fldChar w:fldCharType="separate"/>
    </w:r>
    <w:r w:rsidR="0024238A">
      <w:rPr>
        <w:noProof/>
        <w:kern w:val="0"/>
        <w:sz w:val="24"/>
        <w:szCs w:val="24"/>
      </w:rPr>
      <w:t>1</w:t>
    </w:r>
    <w:r w:rsidR="00430B64" w:rsidRPr="00652812">
      <w:rPr>
        <w:kern w:val="0"/>
        <w:sz w:val="24"/>
        <w:szCs w:val="24"/>
      </w:rPr>
      <w:fldChar w:fldCharType="end"/>
    </w:r>
    <w:r w:rsidRPr="00652812">
      <w:rPr>
        <w:kern w:val="0"/>
        <w:sz w:val="24"/>
        <w:szCs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04" w:rsidRPr="00042E04" w:rsidRDefault="00042E04" w:rsidP="00042E04">
    <w:pPr>
      <w:pStyle w:val="a4"/>
      <w:jc w:val="center"/>
      <w:rPr>
        <w:sz w:val="24"/>
        <w:szCs w:val="24"/>
      </w:rPr>
    </w:pPr>
    <w:r w:rsidRPr="00652812">
      <w:rPr>
        <w:kern w:val="0"/>
        <w:sz w:val="24"/>
        <w:szCs w:val="24"/>
      </w:rPr>
      <w:t xml:space="preserve">- </w:t>
    </w:r>
    <w:r w:rsidR="00430B64" w:rsidRPr="00652812">
      <w:rPr>
        <w:kern w:val="0"/>
        <w:sz w:val="24"/>
        <w:szCs w:val="24"/>
      </w:rPr>
      <w:fldChar w:fldCharType="begin"/>
    </w:r>
    <w:r w:rsidRPr="00652812">
      <w:rPr>
        <w:kern w:val="0"/>
        <w:sz w:val="24"/>
        <w:szCs w:val="24"/>
      </w:rPr>
      <w:instrText xml:space="preserve"> PAGE </w:instrText>
    </w:r>
    <w:r w:rsidR="00430B64" w:rsidRPr="00652812">
      <w:rPr>
        <w:kern w:val="0"/>
        <w:sz w:val="24"/>
        <w:szCs w:val="24"/>
      </w:rPr>
      <w:fldChar w:fldCharType="separate"/>
    </w:r>
    <w:r w:rsidR="0024238A">
      <w:rPr>
        <w:noProof/>
        <w:kern w:val="0"/>
        <w:sz w:val="24"/>
        <w:szCs w:val="24"/>
      </w:rPr>
      <w:t>2</w:t>
    </w:r>
    <w:r w:rsidR="00430B64" w:rsidRPr="00652812">
      <w:rPr>
        <w:kern w:val="0"/>
        <w:sz w:val="24"/>
        <w:szCs w:val="24"/>
      </w:rPr>
      <w:fldChar w:fldCharType="end"/>
    </w:r>
    <w:r w:rsidRPr="00652812">
      <w:rPr>
        <w:kern w:val="0"/>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B37" w:rsidRDefault="00C81B37" w:rsidP="00042E04">
      <w:r>
        <w:separator/>
      </w:r>
    </w:p>
  </w:footnote>
  <w:footnote w:type="continuationSeparator" w:id="1">
    <w:p w:rsidR="00C81B37" w:rsidRDefault="00C81B37" w:rsidP="00042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4F8E"/>
    <w:rsid w:val="00016090"/>
    <w:rsid w:val="00033DCF"/>
    <w:rsid w:val="00042E04"/>
    <w:rsid w:val="00103287"/>
    <w:rsid w:val="00105D78"/>
    <w:rsid w:val="0011444B"/>
    <w:rsid w:val="0012610F"/>
    <w:rsid w:val="00153124"/>
    <w:rsid w:val="00194B19"/>
    <w:rsid w:val="001B5109"/>
    <w:rsid w:val="001B6515"/>
    <w:rsid w:val="001C4B28"/>
    <w:rsid w:val="001C78C9"/>
    <w:rsid w:val="001E118A"/>
    <w:rsid w:val="00206D93"/>
    <w:rsid w:val="0024238A"/>
    <w:rsid w:val="002977C8"/>
    <w:rsid w:val="002B6695"/>
    <w:rsid w:val="002E3959"/>
    <w:rsid w:val="00312596"/>
    <w:rsid w:val="00327134"/>
    <w:rsid w:val="00351552"/>
    <w:rsid w:val="00372A28"/>
    <w:rsid w:val="003A0BDD"/>
    <w:rsid w:val="003A3144"/>
    <w:rsid w:val="003B66C3"/>
    <w:rsid w:val="00407F88"/>
    <w:rsid w:val="00426BD4"/>
    <w:rsid w:val="00430B64"/>
    <w:rsid w:val="0043603E"/>
    <w:rsid w:val="004625CA"/>
    <w:rsid w:val="0046327D"/>
    <w:rsid w:val="004675FC"/>
    <w:rsid w:val="00471339"/>
    <w:rsid w:val="004729CE"/>
    <w:rsid w:val="00515EDE"/>
    <w:rsid w:val="00565819"/>
    <w:rsid w:val="005749A1"/>
    <w:rsid w:val="005B302F"/>
    <w:rsid w:val="005E1409"/>
    <w:rsid w:val="00616C1D"/>
    <w:rsid w:val="0062587D"/>
    <w:rsid w:val="00675DE5"/>
    <w:rsid w:val="006B3FF8"/>
    <w:rsid w:val="006B7B94"/>
    <w:rsid w:val="006E76C4"/>
    <w:rsid w:val="00740CBD"/>
    <w:rsid w:val="00744B26"/>
    <w:rsid w:val="0074770F"/>
    <w:rsid w:val="00764726"/>
    <w:rsid w:val="00774BBC"/>
    <w:rsid w:val="007868A2"/>
    <w:rsid w:val="007A2AFD"/>
    <w:rsid w:val="007A7363"/>
    <w:rsid w:val="007C1076"/>
    <w:rsid w:val="007D7307"/>
    <w:rsid w:val="008053CB"/>
    <w:rsid w:val="00836AA6"/>
    <w:rsid w:val="00844843"/>
    <w:rsid w:val="00856E4A"/>
    <w:rsid w:val="00862908"/>
    <w:rsid w:val="00866CCF"/>
    <w:rsid w:val="008815F2"/>
    <w:rsid w:val="00890C6B"/>
    <w:rsid w:val="008A0981"/>
    <w:rsid w:val="008C3BBC"/>
    <w:rsid w:val="008D7E1F"/>
    <w:rsid w:val="008E1DD8"/>
    <w:rsid w:val="008E2B79"/>
    <w:rsid w:val="008E3435"/>
    <w:rsid w:val="008F456A"/>
    <w:rsid w:val="009273E2"/>
    <w:rsid w:val="00950C6B"/>
    <w:rsid w:val="009631C9"/>
    <w:rsid w:val="00972B83"/>
    <w:rsid w:val="009A6941"/>
    <w:rsid w:val="00A1025C"/>
    <w:rsid w:val="00A843C5"/>
    <w:rsid w:val="00A97A3A"/>
    <w:rsid w:val="00AC4FF5"/>
    <w:rsid w:val="00AD7A81"/>
    <w:rsid w:val="00B322AB"/>
    <w:rsid w:val="00B443AF"/>
    <w:rsid w:val="00B50AE2"/>
    <w:rsid w:val="00B667D1"/>
    <w:rsid w:val="00BF6671"/>
    <w:rsid w:val="00C0252E"/>
    <w:rsid w:val="00C11D06"/>
    <w:rsid w:val="00C14761"/>
    <w:rsid w:val="00C55977"/>
    <w:rsid w:val="00C81B37"/>
    <w:rsid w:val="00CA57B1"/>
    <w:rsid w:val="00CB3248"/>
    <w:rsid w:val="00CC5B8A"/>
    <w:rsid w:val="00D06B4F"/>
    <w:rsid w:val="00D32E8F"/>
    <w:rsid w:val="00D54F8E"/>
    <w:rsid w:val="00D560E0"/>
    <w:rsid w:val="00D5716A"/>
    <w:rsid w:val="00D95193"/>
    <w:rsid w:val="00DA7564"/>
    <w:rsid w:val="00DE30E9"/>
    <w:rsid w:val="00E015CA"/>
    <w:rsid w:val="00E22610"/>
    <w:rsid w:val="00E2499D"/>
    <w:rsid w:val="00F34944"/>
    <w:rsid w:val="00F65865"/>
    <w:rsid w:val="00F74BDE"/>
    <w:rsid w:val="00F779BC"/>
    <w:rsid w:val="00FA77FF"/>
    <w:rsid w:val="00FB04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2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2E04"/>
    <w:rPr>
      <w:rFonts w:ascii="Times New Roman" w:eastAsia="宋体" w:hAnsi="Times New Roman" w:cs="Times New Roman"/>
      <w:sz w:val="18"/>
      <w:szCs w:val="18"/>
    </w:rPr>
  </w:style>
  <w:style w:type="paragraph" w:styleId="a4">
    <w:name w:val="footer"/>
    <w:basedOn w:val="a"/>
    <w:link w:val="Char0"/>
    <w:unhideWhenUsed/>
    <w:rsid w:val="00042E04"/>
    <w:pPr>
      <w:tabs>
        <w:tab w:val="center" w:pos="4153"/>
        <w:tab w:val="right" w:pos="8306"/>
      </w:tabs>
      <w:snapToGrid w:val="0"/>
      <w:jc w:val="left"/>
    </w:pPr>
    <w:rPr>
      <w:sz w:val="18"/>
      <w:szCs w:val="18"/>
    </w:rPr>
  </w:style>
  <w:style w:type="character" w:customStyle="1" w:styleId="Char0">
    <w:name w:val="页脚 Char"/>
    <w:basedOn w:val="a0"/>
    <w:link w:val="a4"/>
    <w:rsid w:val="00042E04"/>
    <w:rPr>
      <w:rFonts w:ascii="Times New Roman" w:eastAsia="宋体" w:hAnsi="Times New Roman" w:cs="Times New Roman"/>
      <w:sz w:val="18"/>
      <w:szCs w:val="18"/>
    </w:rPr>
  </w:style>
  <w:style w:type="paragraph" w:styleId="a5">
    <w:name w:val="Date"/>
    <w:basedOn w:val="a"/>
    <w:next w:val="a"/>
    <w:link w:val="Char1"/>
    <w:uiPriority w:val="99"/>
    <w:semiHidden/>
    <w:unhideWhenUsed/>
    <w:rsid w:val="00862908"/>
    <w:pPr>
      <w:ind w:leftChars="2500" w:left="100"/>
    </w:pPr>
  </w:style>
  <w:style w:type="character" w:customStyle="1" w:styleId="Char1">
    <w:name w:val="日期 Char"/>
    <w:basedOn w:val="a0"/>
    <w:link w:val="a5"/>
    <w:uiPriority w:val="99"/>
    <w:semiHidden/>
    <w:rsid w:val="00862908"/>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73037512">
      <w:bodyDiv w:val="1"/>
      <w:marLeft w:val="0"/>
      <w:marRight w:val="0"/>
      <w:marTop w:val="0"/>
      <w:marBottom w:val="0"/>
      <w:divBdr>
        <w:top w:val="none" w:sz="0" w:space="0" w:color="auto"/>
        <w:left w:val="none" w:sz="0" w:space="0" w:color="auto"/>
        <w:bottom w:val="none" w:sz="0" w:space="0" w:color="auto"/>
        <w:right w:val="none" w:sz="0" w:space="0" w:color="auto"/>
      </w:divBdr>
    </w:div>
    <w:div w:id="1378702142">
      <w:bodyDiv w:val="1"/>
      <w:marLeft w:val="0"/>
      <w:marRight w:val="0"/>
      <w:marTop w:val="0"/>
      <w:marBottom w:val="0"/>
      <w:divBdr>
        <w:top w:val="none" w:sz="0" w:space="0" w:color="auto"/>
        <w:left w:val="none" w:sz="0" w:space="0" w:color="auto"/>
        <w:bottom w:val="none" w:sz="0" w:space="0" w:color="auto"/>
        <w:right w:val="none" w:sz="0" w:space="0" w:color="auto"/>
      </w:divBdr>
    </w:div>
    <w:div w:id="1589387601">
      <w:bodyDiv w:val="1"/>
      <w:marLeft w:val="0"/>
      <w:marRight w:val="0"/>
      <w:marTop w:val="0"/>
      <w:marBottom w:val="0"/>
      <w:divBdr>
        <w:top w:val="none" w:sz="0" w:space="0" w:color="auto"/>
        <w:left w:val="none" w:sz="0" w:space="0" w:color="auto"/>
        <w:bottom w:val="none" w:sz="0" w:space="0" w:color="auto"/>
        <w:right w:val="none" w:sz="0" w:space="0" w:color="auto"/>
      </w:divBdr>
    </w:div>
    <w:div w:id="1680426091">
      <w:bodyDiv w:val="1"/>
      <w:marLeft w:val="0"/>
      <w:marRight w:val="0"/>
      <w:marTop w:val="0"/>
      <w:marBottom w:val="0"/>
      <w:divBdr>
        <w:top w:val="none" w:sz="0" w:space="0" w:color="auto"/>
        <w:left w:val="none" w:sz="0" w:space="0" w:color="auto"/>
        <w:bottom w:val="none" w:sz="0" w:space="0" w:color="auto"/>
        <w:right w:val="none" w:sz="0" w:space="0" w:color="auto"/>
      </w:divBdr>
    </w:div>
    <w:div w:id="17017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634</Words>
  <Characters>3620</Characters>
  <Application>Microsoft Office Word</Application>
  <DocSecurity>0</DocSecurity>
  <Lines>30</Lines>
  <Paragraphs>8</Paragraphs>
  <ScaleCrop>false</ScaleCrop>
  <Company>ITianKong.Com</Company>
  <LinksUpToDate>false</LinksUpToDate>
  <CharactersWithSpaces>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苏楠岚</dc:creator>
  <cp:keywords/>
  <dc:description/>
  <cp:lastModifiedBy>陈超（女）</cp:lastModifiedBy>
  <cp:revision>4</cp:revision>
  <cp:lastPrinted>2019-03-28T06:54:00Z</cp:lastPrinted>
  <dcterms:created xsi:type="dcterms:W3CDTF">2022-03-30T01:22:00Z</dcterms:created>
  <dcterms:modified xsi:type="dcterms:W3CDTF">2022-04-27T08:28:00Z</dcterms:modified>
</cp:coreProperties>
</file>