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FB3" w:rsidRDefault="008D3FB3" w:rsidP="008D3FB3">
      <w:pPr>
        <w:spacing w:line="560" w:lineRule="exact"/>
        <w:jc w:val="left"/>
        <w:rPr>
          <w:rFonts w:ascii="黑体" w:eastAsia="黑体" w:hAnsi="黑体" w:cs="黑体"/>
          <w:b/>
          <w:kern w:val="0"/>
          <w:sz w:val="32"/>
          <w:szCs w:val="32"/>
        </w:rPr>
      </w:pPr>
      <w:r>
        <w:rPr>
          <w:rFonts w:ascii="黑体" w:eastAsia="黑体" w:hAnsi="黑体" w:cs="黑体" w:hint="eastAsia"/>
          <w:b/>
          <w:kern w:val="0"/>
          <w:sz w:val="32"/>
          <w:szCs w:val="32"/>
        </w:rPr>
        <w:t>2021年度股东大会会议材料二十二                商密A</w:t>
      </w:r>
    </w:p>
    <w:p w:rsidR="00D13432" w:rsidRPr="00A71FBA" w:rsidRDefault="00D13432" w:rsidP="00D13432">
      <w:pPr>
        <w:widowControl/>
        <w:spacing w:line="600" w:lineRule="exact"/>
        <w:jc w:val="center"/>
        <w:rPr>
          <w:rFonts w:ascii="方正小标宋简体" w:eastAsia="方正小标宋简体" w:hAnsi="宋体" w:cs="宋体"/>
          <w:bCs/>
          <w:kern w:val="0"/>
          <w:sz w:val="44"/>
          <w:szCs w:val="44"/>
        </w:rPr>
      </w:pPr>
      <w:r>
        <w:rPr>
          <w:rFonts w:ascii="方正小标宋简体" w:eastAsia="方正小标宋简体" w:hAnsi="宋体" w:cs="宋体" w:hint="eastAsia"/>
          <w:bCs/>
          <w:kern w:val="0"/>
          <w:sz w:val="44"/>
          <w:szCs w:val="44"/>
        </w:rPr>
        <w:t xml:space="preserve"> </w:t>
      </w:r>
    </w:p>
    <w:p w:rsidR="00D13432" w:rsidRPr="008D1B54" w:rsidRDefault="00D13432" w:rsidP="00D13432">
      <w:pPr>
        <w:widowControl/>
        <w:spacing w:line="600" w:lineRule="exact"/>
        <w:jc w:val="center"/>
        <w:rPr>
          <w:rFonts w:ascii="方正小标宋简体" w:eastAsia="方正小标宋简体" w:hAnsi="宋体" w:cs="宋体"/>
          <w:bCs/>
          <w:kern w:val="0"/>
          <w:sz w:val="44"/>
          <w:szCs w:val="44"/>
        </w:rPr>
      </w:pPr>
      <w:r w:rsidRPr="008D1B54">
        <w:rPr>
          <w:rFonts w:ascii="方正小标宋简体" w:eastAsia="方正小标宋简体" w:hAnsi="宋体" w:cs="宋体" w:hint="eastAsia"/>
          <w:bCs/>
          <w:kern w:val="0"/>
          <w:sz w:val="44"/>
          <w:szCs w:val="44"/>
        </w:rPr>
        <w:t>江苏扬州农村商业银行股份有限公司</w:t>
      </w:r>
    </w:p>
    <w:p w:rsidR="00D13432" w:rsidRPr="008D1B54" w:rsidRDefault="00D13432" w:rsidP="00D13432">
      <w:pPr>
        <w:widowControl/>
        <w:spacing w:line="600" w:lineRule="exact"/>
        <w:jc w:val="center"/>
        <w:rPr>
          <w:rFonts w:ascii="方正小标宋简体" w:eastAsia="方正小标宋简体" w:hAnsi="宋体" w:cs="宋体"/>
          <w:bCs/>
          <w:kern w:val="0"/>
          <w:sz w:val="44"/>
          <w:szCs w:val="44"/>
        </w:rPr>
      </w:pPr>
      <w:r w:rsidRPr="008D1B54">
        <w:rPr>
          <w:rFonts w:ascii="方正小标宋简体" w:eastAsia="方正小标宋简体" w:hAnsi="宋体" w:cs="宋体" w:hint="eastAsia"/>
          <w:bCs/>
          <w:kern w:val="0"/>
          <w:sz w:val="44"/>
          <w:szCs w:val="44"/>
        </w:rPr>
        <w:t>202</w:t>
      </w:r>
      <w:r>
        <w:rPr>
          <w:rFonts w:ascii="方正小标宋简体" w:eastAsia="方正小标宋简体" w:hAnsi="宋体" w:cs="宋体" w:hint="eastAsia"/>
          <w:bCs/>
          <w:kern w:val="0"/>
          <w:sz w:val="44"/>
          <w:szCs w:val="44"/>
        </w:rPr>
        <w:t>1</w:t>
      </w:r>
      <w:r w:rsidRPr="008D1B54">
        <w:rPr>
          <w:rFonts w:ascii="方正小标宋简体" w:eastAsia="方正小标宋简体" w:hAnsi="宋体" w:cs="宋体" w:hint="eastAsia"/>
          <w:bCs/>
          <w:kern w:val="0"/>
          <w:sz w:val="44"/>
          <w:szCs w:val="44"/>
        </w:rPr>
        <w:t>年度</w:t>
      </w:r>
      <w:r>
        <w:rPr>
          <w:rFonts w:ascii="方正小标宋简体" w:eastAsia="方正小标宋简体" w:hAnsi="宋体" w:cs="宋体" w:hint="eastAsia"/>
          <w:bCs/>
          <w:kern w:val="0"/>
          <w:sz w:val="44"/>
          <w:szCs w:val="44"/>
        </w:rPr>
        <w:t>大股东相关情况的评估报告</w:t>
      </w:r>
    </w:p>
    <w:p w:rsidR="00DB31BC" w:rsidRPr="008D3FB3" w:rsidRDefault="00DB31BC" w:rsidP="00DB31BC">
      <w:pPr>
        <w:widowControl/>
        <w:spacing w:line="520" w:lineRule="exact"/>
        <w:contextualSpacing/>
        <w:jc w:val="left"/>
        <w:rPr>
          <w:rFonts w:ascii="仿宋_GB2312" w:eastAsia="仿宋_GB2312"/>
          <w:b/>
          <w:sz w:val="32"/>
          <w:szCs w:val="30"/>
        </w:rPr>
      </w:pPr>
    </w:p>
    <w:p w:rsidR="008D3FB3" w:rsidRPr="008D3FB3" w:rsidRDefault="008D3FB3" w:rsidP="008D3FB3">
      <w:pPr>
        <w:spacing w:line="580" w:lineRule="exact"/>
        <w:rPr>
          <w:rFonts w:ascii="仿宋_GB2312" w:eastAsia="仿宋_GB2312" w:hAnsi="仿宋"/>
          <w:color w:val="333333"/>
          <w:spacing w:val="5"/>
          <w:sz w:val="32"/>
          <w:szCs w:val="30"/>
        </w:rPr>
      </w:pPr>
      <w:r w:rsidRPr="008D3FB3">
        <w:rPr>
          <w:rFonts w:ascii="仿宋_GB2312" w:eastAsia="仿宋_GB2312" w:hAnsi="仿宋" w:hint="eastAsia"/>
          <w:color w:val="333333"/>
          <w:spacing w:val="5"/>
          <w:sz w:val="32"/>
          <w:szCs w:val="30"/>
        </w:rPr>
        <w:t>各位股东、代理人：</w:t>
      </w:r>
    </w:p>
    <w:p w:rsidR="00DB31BC" w:rsidRPr="008D3FB3" w:rsidRDefault="00DB31BC" w:rsidP="008D3FB3">
      <w:pPr>
        <w:widowControl/>
        <w:snapToGrid w:val="0"/>
        <w:spacing w:line="520" w:lineRule="exact"/>
        <w:ind w:firstLineChars="200" w:firstLine="640"/>
        <w:rPr>
          <w:rFonts w:ascii="仿宋_GB2312" w:eastAsia="仿宋_GB2312" w:hAnsi="仿宋"/>
          <w:kern w:val="0"/>
          <w:sz w:val="32"/>
          <w:szCs w:val="30"/>
        </w:rPr>
      </w:pPr>
      <w:r w:rsidRPr="008D3FB3">
        <w:rPr>
          <w:rFonts w:ascii="仿宋_GB2312" w:eastAsia="仿宋_GB2312" w:hAnsi="仿宋" w:hint="eastAsia"/>
          <w:kern w:val="0"/>
          <w:sz w:val="32"/>
          <w:szCs w:val="30"/>
        </w:rPr>
        <w:t>根据中国银保监会《关于印发银行保险机构大股东行为监管办法（试行）的通知》中的相关条款</w:t>
      </w:r>
      <w:r w:rsidR="007C51F5" w:rsidRPr="008D3FB3">
        <w:rPr>
          <w:rFonts w:ascii="仿宋_GB2312" w:eastAsia="仿宋_GB2312" w:hAnsi="仿宋" w:hint="eastAsia"/>
          <w:kern w:val="0"/>
          <w:sz w:val="32"/>
          <w:szCs w:val="30"/>
        </w:rPr>
        <w:t>，</w:t>
      </w:r>
      <w:r w:rsidR="00D13432" w:rsidRPr="008D3FB3">
        <w:rPr>
          <w:rFonts w:ascii="仿宋_GB2312" w:eastAsia="仿宋_GB2312" w:hAnsi="仿宋" w:hint="eastAsia"/>
          <w:kern w:val="0"/>
          <w:sz w:val="32"/>
          <w:szCs w:val="30"/>
        </w:rPr>
        <w:t>实际持有银行保险机构股权最多，且持股比例不低于5%的（含持股数量相同的股东）</w:t>
      </w:r>
      <w:r w:rsidR="007C51F5" w:rsidRPr="008D3FB3">
        <w:rPr>
          <w:rFonts w:ascii="仿宋_GB2312" w:eastAsia="仿宋_GB2312" w:hAnsi="仿宋" w:hint="eastAsia"/>
          <w:kern w:val="0"/>
          <w:sz w:val="32"/>
          <w:szCs w:val="30"/>
        </w:rPr>
        <w:t>，</w:t>
      </w:r>
      <w:r w:rsidRPr="008D3FB3">
        <w:rPr>
          <w:rFonts w:ascii="仿宋_GB2312" w:eastAsia="仿宋_GB2312" w:hAnsi="仿宋" w:hint="eastAsia"/>
          <w:kern w:val="0"/>
          <w:sz w:val="32"/>
          <w:szCs w:val="30"/>
        </w:rPr>
        <w:t>称为</w:t>
      </w:r>
      <w:r w:rsidRPr="008D3FB3">
        <w:rPr>
          <w:rFonts w:ascii="仿宋_GB2312" w:eastAsia="仿宋_GB2312" w:hAnsi="仿宋"/>
          <w:kern w:val="0"/>
          <w:sz w:val="32"/>
          <w:szCs w:val="30"/>
        </w:rPr>
        <w:t>银行保险机构大股东</w:t>
      </w:r>
      <w:r w:rsidRPr="008D3FB3">
        <w:rPr>
          <w:rFonts w:ascii="仿宋_GB2312" w:eastAsia="仿宋_GB2312" w:hAnsi="仿宋" w:hint="eastAsia"/>
          <w:kern w:val="0"/>
          <w:sz w:val="32"/>
          <w:szCs w:val="30"/>
        </w:rPr>
        <w:t>。目前本行大股东为</w:t>
      </w:r>
      <w:r w:rsidR="00D13432" w:rsidRPr="008D3FB3">
        <w:rPr>
          <w:rFonts w:ascii="仿宋_GB2312" w:eastAsia="仿宋_GB2312" w:hAnsi="仿宋" w:hint="eastAsia"/>
          <w:kern w:val="0"/>
          <w:sz w:val="32"/>
          <w:szCs w:val="30"/>
        </w:rPr>
        <w:t>扬州国有资本投资集团有限公司</w:t>
      </w:r>
      <w:r w:rsidRPr="008D3FB3">
        <w:rPr>
          <w:rFonts w:ascii="仿宋_GB2312" w:eastAsia="仿宋_GB2312" w:hAnsi="仿宋" w:hint="eastAsia"/>
          <w:kern w:val="0"/>
          <w:sz w:val="32"/>
          <w:szCs w:val="30"/>
        </w:rPr>
        <w:t>（以下简称：</w:t>
      </w:r>
      <w:r w:rsidR="00D64B2F" w:rsidRPr="008D3FB3">
        <w:rPr>
          <w:rFonts w:ascii="仿宋_GB2312" w:eastAsia="仿宋_GB2312" w:hAnsi="仿宋" w:hint="eastAsia"/>
          <w:kern w:val="0"/>
          <w:sz w:val="32"/>
          <w:szCs w:val="30"/>
        </w:rPr>
        <w:t>该股东</w:t>
      </w:r>
      <w:r w:rsidRPr="008D3FB3">
        <w:rPr>
          <w:rFonts w:ascii="仿宋_GB2312" w:eastAsia="仿宋_GB2312" w:hAnsi="仿宋" w:hint="eastAsia"/>
          <w:kern w:val="0"/>
          <w:sz w:val="32"/>
          <w:szCs w:val="30"/>
        </w:rPr>
        <w:t>）。根据监管要求，现将大股东相关情况的评估报告如下：</w:t>
      </w:r>
    </w:p>
    <w:p w:rsidR="00DB31BC" w:rsidRPr="008D3FB3" w:rsidRDefault="00DB31BC" w:rsidP="008D3FB3">
      <w:pPr>
        <w:widowControl/>
        <w:snapToGrid w:val="0"/>
        <w:spacing w:line="520" w:lineRule="exact"/>
        <w:ind w:firstLineChars="200" w:firstLine="640"/>
        <w:rPr>
          <w:rFonts w:ascii="黑体" w:eastAsia="黑体" w:hAnsi="黑体" w:cs="宋体"/>
          <w:bCs/>
          <w:color w:val="333333"/>
          <w:kern w:val="0"/>
          <w:sz w:val="32"/>
          <w:szCs w:val="30"/>
        </w:rPr>
      </w:pPr>
      <w:r w:rsidRPr="008D3FB3">
        <w:rPr>
          <w:rFonts w:ascii="黑体" w:eastAsia="黑体" w:hAnsi="黑体" w:cs="宋体" w:hint="eastAsia"/>
          <w:bCs/>
          <w:color w:val="333333"/>
          <w:kern w:val="0"/>
          <w:sz w:val="32"/>
          <w:szCs w:val="30"/>
        </w:rPr>
        <w:t>一、股东资质</w:t>
      </w:r>
    </w:p>
    <w:p w:rsidR="00DB31BC" w:rsidRPr="008D3FB3" w:rsidRDefault="00D64B2F" w:rsidP="008D3FB3">
      <w:pPr>
        <w:widowControl/>
        <w:snapToGrid w:val="0"/>
        <w:spacing w:line="520" w:lineRule="exact"/>
        <w:ind w:firstLineChars="200" w:firstLine="640"/>
        <w:rPr>
          <w:rFonts w:ascii="仿宋_GB2312" w:eastAsia="仿宋_GB2312" w:hAnsiTheme="minorEastAsia" w:cs="宋体"/>
          <w:bCs/>
          <w:color w:val="333333"/>
          <w:kern w:val="0"/>
          <w:sz w:val="32"/>
          <w:szCs w:val="30"/>
        </w:rPr>
      </w:pPr>
      <w:r w:rsidRPr="008D3FB3">
        <w:rPr>
          <w:rFonts w:ascii="仿宋_GB2312" w:eastAsia="仿宋_GB2312" w:hAnsi="宋体" w:cs="宋体" w:hint="eastAsia"/>
          <w:bCs/>
          <w:sz w:val="32"/>
          <w:szCs w:val="30"/>
        </w:rPr>
        <w:t>该股东</w:t>
      </w:r>
      <w:r w:rsidR="00DB31BC" w:rsidRPr="008D3FB3">
        <w:rPr>
          <w:rFonts w:ascii="仿宋_GB2312" w:eastAsia="仿宋_GB2312" w:hAnsiTheme="minorEastAsia" w:cs="宋体" w:hint="eastAsia"/>
          <w:bCs/>
          <w:color w:val="333333"/>
          <w:kern w:val="0"/>
          <w:sz w:val="32"/>
          <w:szCs w:val="30"/>
        </w:rPr>
        <w:t>是本行在</w:t>
      </w:r>
      <w:r w:rsidR="00D13432" w:rsidRPr="008D3FB3">
        <w:rPr>
          <w:rFonts w:ascii="仿宋_GB2312" w:eastAsia="仿宋_GB2312" w:hAnsiTheme="minorEastAsia" w:cs="宋体" w:hint="eastAsia"/>
          <w:bCs/>
          <w:color w:val="333333"/>
          <w:kern w:val="0"/>
          <w:sz w:val="32"/>
          <w:szCs w:val="30"/>
        </w:rPr>
        <w:t>2021</w:t>
      </w:r>
      <w:r w:rsidR="00DB31BC" w:rsidRPr="008D3FB3">
        <w:rPr>
          <w:rFonts w:ascii="仿宋_GB2312" w:eastAsia="仿宋_GB2312" w:hAnsiTheme="minorEastAsia" w:cs="宋体" w:hint="eastAsia"/>
          <w:bCs/>
          <w:color w:val="333333"/>
          <w:kern w:val="0"/>
          <w:sz w:val="32"/>
          <w:szCs w:val="30"/>
        </w:rPr>
        <w:t>年</w:t>
      </w:r>
      <w:r w:rsidR="00D13432" w:rsidRPr="008D3FB3">
        <w:rPr>
          <w:rFonts w:ascii="仿宋_GB2312" w:eastAsia="仿宋_GB2312" w:hAnsiTheme="minorEastAsia" w:cs="宋体" w:hint="eastAsia"/>
          <w:bCs/>
          <w:color w:val="333333"/>
          <w:kern w:val="0"/>
          <w:sz w:val="32"/>
          <w:szCs w:val="30"/>
        </w:rPr>
        <w:t>定向募股中引进的股东</w:t>
      </w:r>
      <w:r w:rsidR="007C51F5" w:rsidRPr="008D3FB3">
        <w:rPr>
          <w:rFonts w:ascii="仿宋_GB2312" w:eastAsia="仿宋_GB2312" w:hAnsiTheme="minorEastAsia" w:cs="宋体" w:hint="eastAsia"/>
          <w:bCs/>
          <w:color w:val="333333"/>
          <w:kern w:val="0"/>
          <w:sz w:val="32"/>
          <w:szCs w:val="30"/>
        </w:rPr>
        <w:t>，</w:t>
      </w:r>
      <w:r w:rsidR="00DB31BC" w:rsidRPr="008D3FB3">
        <w:rPr>
          <w:rFonts w:ascii="仿宋_GB2312" w:eastAsia="仿宋_GB2312" w:hAnsiTheme="minorEastAsia" w:cs="宋体" w:hint="eastAsia"/>
          <w:bCs/>
          <w:color w:val="333333"/>
          <w:kern w:val="0"/>
          <w:sz w:val="32"/>
          <w:szCs w:val="30"/>
        </w:rPr>
        <w:t>是报经监管部门核准持有本行股份总额</w:t>
      </w:r>
      <w:r w:rsidR="00D13432" w:rsidRPr="008D3FB3">
        <w:rPr>
          <w:rFonts w:ascii="仿宋_GB2312" w:eastAsia="仿宋_GB2312" w:hAnsiTheme="minorEastAsia" w:cs="宋体" w:hint="eastAsia"/>
          <w:bCs/>
          <w:color w:val="333333"/>
          <w:kern w:val="0"/>
          <w:sz w:val="32"/>
          <w:szCs w:val="30"/>
        </w:rPr>
        <w:t>8.9%</w:t>
      </w:r>
      <w:r w:rsidR="00DB31BC" w:rsidRPr="008D3FB3">
        <w:rPr>
          <w:rFonts w:ascii="仿宋_GB2312" w:eastAsia="仿宋_GB2312" w:hAnsiTheme="minorEastAsia" w:cs="宋体" w:hint="eastAsia"/>
          <w:bCs/>
          <w:color w:val="333333"/>
          <w:kern w:val="0"/>
          <w:sz w:val="32"/>
          <w:szCs w:val="30"/>
        </w:rPr>
        <w:t>的法人股东。该股东于</w:t>
      </w:r>
      <w:r w:rsidR="00D13432" w:rsidRPr="008D3FB3">
        <w:rPr>
          <w:rFonts w:ascii="仿宋_GB2312" w:eastAsia="仿宋_GB2312" w:hAnsiTheme="minorEastAsia" w:cs="宋体" w:hint="eastAsia"/>
          <w:bCs/>
          <w:color w:val="333333"/>
          <w:kern w:val="0"/>
          <w:sz w:val="32"/>
          <w:szCs w:val="30"/>
        </w:rPr>
        <w:t>2018年12月26日，经扬州市人民政府批准设立的国有独资企业，由扬州市财政局代表扬州市人民政府履行出资人职责，注册资本100亿元人民币。该股东</w:t>
      </w:r>
      <w:r w:rsidR="00DB31BC" w:rsidRPr="008D3FB3">
        <w:rPr>
          <w:rFonts w:ascii="仿宋_GB2312" w:eastAsia="仿宋_GB2312" w:hAnsiTheme="minorEastAsia" w:cs="宋体" w:hint="eastAsia"/>
          <w:bCs/>
          <w:color w:val="333333"/>
          <w:kern w:val="0"/>
          <w:sz w:val="32"/>
          <w:szCs w:val="30"/>
        </w:rPr>
        <w:t>具有良好的社会声誉、诚信记录、纳税记录和财务状况，符合法律法规规定和监管要求，不存在逃废银行债务或提供虚假材料等行为。入股本行资金为其自有资金，且资金来源合法，不存在以委托资金、债务资金等非自有资金入股的情况，也不存在委托他人或接受他人委托持有本行股权情况。不存在被列为相关部门失信联合惩戒对象，不存在因违法违规行为被监管部门或政府有关部门查处或造成恶劣影响的情况。该股东经营状况良好，具备较强的资本补充能力和风险抵御能力。</w:t>
      </w:r>
    </w:p>
    <w:p w:rsidR="00DB31BC" w:rsidRPr="008D3FB3" w:rsidRDefault="00DB31BC" w:rsidP="008D3FB3">
      <w:pPr>
        <w:widowControl/>
        <w:snapToGrid w:val="0"/>
        <w:spacing w:line="520" w:lineRule="exact"/>
        <w:ind w:firstLineChars="200" w:firstLine="640"/>
        <w:rPr>
          <w:rFonts w:ascii="黑体" w:eastAsia="黑体" w:hAnsi="黑体" w:cs="宋体"/>
          <w:bCs/>
          <w:color w:val="333333"/>
          <w:kern w:val="0"/>
          <w:sz w:val="32"/>
          <w:szCs w:val="30"/>
        </w:rPr>
      </w:pPr>
      <w:r w:rsidRPr="008D3FB3">
        <w:rPr>
          <w:rFonts w:ascii="黑体" w:eastAsia="黑体" w:hAnsi="黑体" w:cs="宋体" w:hint="eastAsia"/>
          <w:bCs/>
          <w:color w:val="333333"/>
          <w:kern w:val="0"/>
          <w:sz w:val="32"/>
          <w:szCs w:val="30"/>
        </w:rPr>
        <w:lastRenderedPageBreak/>
        <w:t>二、财务状况</w:t>
      </w:r>
    </w:p>
    <w:p w:rsidR="00DB31BC" w:rsidRPr="008D3FB3" w:rsidRDefault="00CD2A38" w:rsidP="008D3FB3">
      <w:pPr>
        <w:widowControl/>
        <w:snapToGrid w:val="0"/>
        <w:spacing w:line="520" w:lineRule="exact"/>
        <w:ind w:firstLineChars="200" w:firstLine="640"/>
        <w:rPr>
          <w:rFonts w:ascii="仿宋_GB2312" w:eastAsia="仿宋_GB2312" w:hAnsiTheme="minorEastAsia" w:cs="宋体"/>
          <w:bCs/>
          <w:color w:val="333333"/>
          <w:kern w:val="0"/>
          <w:sz w:val="32"/>
          <w:szCs w:val="30"/>
        </w:rPr>
      </w:pPr>
      <w:r w:rsidRPr="008D3FB3">
        <w:rPr>
          <w:rFonts w:ascii="仿宋_GB2312" w:eastAsia="仿宋_GB2312" w:hAnsiTheme="minorEastAsia" w:cs="宋体" w:hint="eastAsia"/>
          <w:bCs/>
          <w:color w:val="333333"/>
          <w:kern w:val="0"/>
          <w:sz w:val="32"/>
          <w:szCs w:val="30"/>
        </w:rPr>
        <w:t>截至2021年末，</w:t>
      </w:r>
      <w:r w:rsidR="00D13432" w:rsidRPr="008D3FB3">
        <w:rPr>
          <w:rFonts w:ascii="仿宋_GB2312" w:eastAsia="仿宋_GB2312" w:hAnsi="宋体" w:cs="宋体" w:hint="eastAsia"/>
          <w:bCs/>
          <w:sz w:val="32"/>
          <w:szCs w:val="30"/>
        </w:rPr>
        <w:t>连续两年盈利、年终分配后净资产达到全部资产的30%以上,净资产中权益性投资比例低于50%</w:t>
      </w:r>
      <w:r w:rsidR="008827C8" w:rsidRPr="008D3FB3">
        <w:rPr>
          <w:rFonts w:ascii="仿宋_GB2312" w:eastAsia="仿宋_GB2312" w:hAnsi="宋体" w:cs="宋体" w:hint="eastAsia"/>
          <w:bCs/>
          <w:sz w:val="32"/>
          <w:szCs w:val="30"/>
        </w:rPr>
        <w:t>，</w:t>
      </w:r>
      <w:r w:rsidR="008827C8" w:rsidRPr="008D3FB3">
        <w:rPr>
          <w:rFonts w:ascii="仿宋_GB2312" w:eastAsia="仿宋_GB2312" w:hAnsi="黑体" w:hint="eastAsia"/>
          <w:sz w:val="32"/>
          <w:szCs w:val="30"/>
        </w:rPr>
        <w:t>各项财务状况良好。</w:t>
      </w:r>
    </w:p>
    <w:p w:rsidR="00DB31BC" w:rsidRPr="008D3FB3" w:rsidRDefault="00DB31BC" w:rsidP="008D3FB3">
      <w:pPr>
        <w:widowControl/>
        <w:snapToGrid w:val="0"/>
        <w:spacing w:line="520" w:lineRule="exact"/>
        <w:ind w:firstLineChars="200" w:firstLine="640"/>
        <w:rPr>
          <w:rFonts w:ascii="黑体" w:eastAsia="黑体" w:hAnsi="黑体" w:cs="宋体"/>
          <w:bCs/>
          <w:color w:val="333333"/>
          <w:kern w:val="0"/>
          <w:sz w:val="32"/>
          <w:szCs w:val="30"/>
        </w:rPr>
      </w:pPr>
      <w:r w:rsidRPr="008D3FB3">
        <w:rPr>
          <w:rFonts w:ascii="黑体" w:eastAsia="黑体" w:hAnsi="黑体" w:cs="宋体" w:hint="eastAsia"/>
          <w:bCs/>
          <w:color w:val="333333"/>
          <w:kern w:val="0"/>
          <w:sz w:val="32"/>
          <w:szCs w:val="30"/>
        </w:rPr>
        <w:t>三、所持股权情况</w:t>
      </w:r>
    </w:p>
    <w:p w:rsidR="00DB31BC" w:rsidRPr="008D3FB3" w:rsidRDefault="00DB31BC" w:rsidP="008D3FB3">
      <w:pPr>
        <w:widowControl/>
        <w:snapToGrid w:val="0"/>
        <w:spacing w:line="520" w:lineRule="exact"/>
        <w:ind w:firstLineChars="200" w:firstLine="640"/>
        <w:rPr>
          <w:rFonts w:ascii="仿宋_GB2312" w:eastAsia="仿宋_GB2312" w:hAnsiTheme="minorEastAsia" w:cs="宋体"/>
          <w:bCs/>
          <w:color w:val="333333"/>
          <w:kern w:val="0"/>
          <w:sz w:val="32"/>
          <w:szCs w:val="30"/>
        </w:rPr>
      </w:pPr>
      <w:r w:rsidRPr="008D3FB3">
        <w:rPr>
          <w:rFonts w:ascii="仿宋_GB2312" w:eastAsia="仿宋_GB2312" w:hAnsiTheme="minorEastAsia" w:cs="宋体" w:hint="eastAsia"/>
          <w:bCs/>
          <w:color w:val="333333"/>
          <w:kern w:val="0"/>
          <w:sz w:val="32"/>
          <w:szCs w:val="30"/>
        </w:rPr>
        <w:t>截至2021年末，</w:t>
      </w:r>
      <w:r w:rsidR="00D64B2F" w:rsidRPr="008D3FB3">
        <w:rPr>
          <w:rFonts w:ascii="仿宋_GB2312" w:eastAsia="仿宋_GB2312" w:hAnsi="宋体" w:cs="宋体" w:hint="eastAsia"/>
          <w:bCs/>
          <w:sz w:val="32"/>
          <w:szCs w:val="30"/>
        </w:rPr>
        <w:t>该股东</w:t>
      </w:r>
      <w:r w:rsidRPr="008D3FB3">
        <w:rPr>
          <w:rFonts w:ascii="仿宋_GB2312" w:eastAsia="仿宋_GB2312" w:hAnsiTheme="minorEastAsia" w:cs="宋体" w:hint="eastAsia"/>
          <w:bCs/>
          <w:color w:val="333333"/>
          <w:kern w:val="0"/>
          <w:sz w:val="32"/>
          <w:szCs w:val="30"/>
        </w:rPr>
        <w:t>在本行持有</w:t>
      </w:r>
      <w:r w:rsidR="008827C8" w:rsidRPr="008D3FB3">
        <w:rPr>
          <w:rFonts w:ascii="仿宋_GB2312" w:eastAsia="仿宋_GB2312" w:hAnsiTheme="minorEastAsia" w:cs="宋体" w:hint="eastAsia"/>
          <w:bCs/>
          <w:color w:val="333333"/>
          <w:kern w:val="0"/>
          <w:sz w:val="32"/>
          <w:szCs w:val="30"/>
        </w:rPr>
        <w:t>71200000</w:t>
      </w:r>
      <w:r w:rsidRPr="008D3FB3">
        <w:rPr>
          <w:rFonts w:ascii="仿宋_GB2312" w:eastAsia="仿宋_GB2312" w:hAnsiTheme="minorEastAsia" w:cs="宋体" w:hint="eastAsia"/>
          <w:bCs/>
          <w:color w:val="333333"/>
          <w:kern w:val="0"/>
          <w:sz w:val="32"/>
          <w:szCs w:val="30"/>
        </w:rPr>
        <w:t>股，持股占比</w:t>
      </w:r>
      <w:r w:rsidR="008827C8" w:rsidRPr="008D3FB3">
        <w:rPr>
          <w:rFonts w:ascii="仿宋_GB2312" w:eastAsia="仿宋_GB2312" w:hAnsiTheme="minorEastAsia" w:cs="宋体" w:hint="eastAsia"/>
          <w:bCs/>
          <w:color w:val="333333"/>
          <w:kern w:val="0"/>
          <w:sz w:val="32"/>
          <w:szCs w:val="30"/>
        </w:rPr>
        <w:t>8.9%</w:t>
      </w:r>
      <w:r w:rsidRPr="008D3FB3">
        <w:rPr>
          <w:rFonts w:ascii="仿宋_GB2312" w:eastAsia="仿宋_GB2312" w:hAnsiTheme="minorEastAsia" w:cs="宋体" w:hint="eastAsia"/>
          <w:bCs/>
          <w:color w:val="333333"/>
          <w:kern w:val="0"/>
          <w:sz w:val="32"/>
          <w:szCs w:val="30"/>
        </w:rPr>
        <w:t>，为本行第一大股东</w:t>
      </w:r>
      <w:r w:rsidR="00A05589" w:rsidRPr="008D3FB3">
        <w:rPr>
          <w:rFonts w:ascii="仿宋_GB2312" w:eastAsia="仿宋_GB2312" w:hAnsiTheme="minorEastAsia" w:cs="宋体" w:hint="eastAsia"/>
          <w:bCs/>
          <w:color w:val="333333"/>
          <w:kern w:val="0"/>
          <w:sz w:val="32"/>
          <w:szCs w:val="30"/>
        </w:rPr>
        <w:t>。入股资金来源合法，</w:t>
      </w:r>
      <w:r w:rsidRPr="008D3FB3">
        <w:rPr>
          <w:rFonts w:ascii="仿宋_GB2312" w:eastAsia="仿宋_GB2312" w:hAnsiTheme="minorEastAsia" w:cs="宋体" w:hint="eastAsia"/>
          <w:bCs/>
          <w:color w:val="333333"/>
          <w:kern w:val="0"/>
          <w:sz w:val="32"/>
          <w:szCs w:val="30"/>
        </w:rPr>
        <w:t>所持股份未质押。</w:t>
      </w:r>
    </w:p>
    <w:p w:rsidR="00DB31BC" w:rsidRPr="008D3FB3" w:rsidRDefault="00DB31BC" w:rsidP="008D3FB3">
      <w:pPr>
        <w:widowControl/>
        <w:snapToGrid w:val="0"/>
        <w:spacing w:line="520" w:lineRule="exact"/>
        <w:ind w:firstLineChars="200" w:firstLine="640"/>
        <w:rPr>
          <w:rFonts w:ascii="黑体" w:eastAsia="黑体" w:hAnsi="黑体" w:cs="宋体"/>
          <w:bCs/>
          <w:color w:val="333333"/>
          <w:kern w:val="0"/>
          <w:sz w:val="32"/>
          <w:szCs w:val="30"/>
        </w:rPr>
      </w:pPr>
      <w:r w:rsidRPr="008D3FB3">
        <w:rPr>
          <w:rFonts w:ascii="黑体" w:eastAsia="黑体" w:hAnsi="黑体" w:cs="宋体" w:hint="eastAsia"/>
          <w:bCs/>
          <w:color w:val="333333"/>
          <w:kern w:val="0"/>
          <w:sz w:val="32"/>
          <w:szCs w:val="30"/>
        </w:rPr>
        <w:t>四、2021年度关联交易情况</w:t>
      </w:r>
    </w:p>
    <w:p w:rsidR="001E4BB1" w:rsidRPr="008D3FB3" w:rsidRDefault="001E4BB1" w:rsidP="00705D56">
      <w:pPr>
        <w:widowControl/>
        <w:shd w:val="clear" w:color="auto" w:fill="FFFFFF"/>
        <w:spacing w:line="520" w:lineRule="exact"/>
        <w:ind w:firstLine="640"/>
        <w:rPr>
          <w:rFonts w:ascii="Calibri" w:eastAsia="宋体" w:hAnsi="Calibri" w:cs="宋体"/>
          <w:color w:val="333333"/>
          <w:kern w:val="0"/>
          <w:sz w:val="32"/>
          <w:szCs w:val="30"/>
        </w:rPr>
      </w:pPr>
      <w:r w:rsidRPr="008D3FB3">
        <w:rPr>
          <w:rFonts w:ascii="仿宋_GB2312" w:eastAsia="仿宋_GB2312" w:hAnsi="宋体" w:cs="宋体" w:hint="eastAsia"/>
          <w:bCs/>
          <w:sz w:val="32"/>
          <w:szCs w:val="30"/>
        </w:rPr>
        <w:t>该股东与本行发生的</w:t>
      </w:r>
      <w:r w:rsidR="008827C8" w:rsidRPr="008D3FB3">
        <w:rPr>
          <w:rFonts w:ascii="仿宋_GB2312" w:eastAsia="仿宋_GB2312" w:hAnsi="宋体" w:cs="宋体" w:hint="eastAsia"/>
          <w:bCs/>
          <w:sz w:val="32"/>
          <w:szCs w:val="30"/>
        </w:rPr>
        <w:t>未发生</w:t>
      </w:r>
      <w:r w:rsidRPr="008D3FB3">
        <w:rPr>
          <w:rFonts w:ascii="仿宋_GB2312" w:eastAsia="仿宋_GB2312" w:hAnsi="宋体" w:cs="宋体" w:hint="eastAsia"/>
          <w:bCs/>
          <w:sz w:val="32"/>
          <w:szCs w:val="30"/>
        </w:rPr>
        <w:t>关联交易行为</w:t>
      </w:r>
      <w:r w:rsidR="008827C8" w:rsidRPr="008D3FB3">
        <w:rPr>
          <w:rFonts w:ascii="仿宋_GB2312" w:eastAsia="仿宋_GB2312" w:hAnsi="宋体" w:cs="宋体" w:hint="eastAsia"/>
          <w:bCs/>
          <w:sz w:val="32"/>
          <w:szCs w:val="30"/>
        </w:rPr>
        <w:t>，</w:t>
      </w:r>
      <w:r w:rsidR="00705D56" w:rsidRPr="008D3FB3">
        <w:rPr>
          <w:rFonts w:ascii="仿宋_GB2312" w:eastAsia="仿宋_GB2312" w:hAnsi="Calibri" w:cs="宋体" w:hint="eastAsia"/>
          <w:color w:val="333333"/>
          <w:kern w:val="0"/>
          <w:sz w:val="32"/>
          <w:szCs w:val="30"/>
        </w:rPr>
        <w:t>没有通过不当关联交易，或利用其对本行的影响力获取不正当利益的行为。</w:t>
      </w:r>
    </w:p>
    <w:p w:rsidR="00DB31BC" w:rsidRPr="008D3FB3" w:rsidRDefault="00DB31BC" w:rsidP="008D3FB3">
      <w:pPr>
        <w:widowControl/>
        <w:snapToGrid w:val="0"/>
        <w:spacing w:line="520" w:lineRule="exact"/>
        <w:ind w:firstLineChars="200" w:firstLine="640"/>
        <w:rPr>
          <w:rFonts w:ascii="黑体" w:eastAsia="黑体" w:hAnsi="黑体" w:cs="宋体"/>
          <w:bCs/>
          <w:color w:val="333333"/>
          <w:kern w:val="0"/>
          <w:sz w:val="32"/>
          <w:szCs w:val="30"/>
        </w:rPr>
      </w:pPr>
      <w:r w:rsidRPr="008D3FB3">
        <w:rPr>
          <w:rFonts w:ascii="黑体" w:eastAsia="黑体" w:hAnsi="黑体" w:cs="宋体" w:hint="eastAsia"/>
          <w:bCs/>
          <w:color w:val="333333"/>
          <w:kern w:val="0"/>
          <w:sz w:val="32"/>
          <w:szCs w:val="30"/>
        </w:rPr>
        <w:t>五、行使股东权利</w:t>
      </w:r>
      <w:r w:rsidR="006D07D8" w:rsidRPr="008D3FB3">
        <w:rPr>
          <w:rFonts w:ascii="黑体" w:eastAsia="黑体" w:hAnsi="黑体" w:cs="宋体" w:hint="eastAsia"/>
          <w:bCs/>
          <w:color w:val="333333"/>
          <w:kern w:val="0"/>
          <w:sz w:val="32"/>
          <w:szCs w:val="30"/>
        </w:rPr>
        <w:t>情况</w:t>
      </w:r>
    </w:p>
    <w:p w:rsidR="00DB31BC" w:rsidRPr="008D3FB3" w:rsidRDefault="00D64B2F" w:rsidP="008D3FB3">
      <w:pPr>
        <w:widowControl/>
        <w:snapToGrid w:val="0"/>
        <w:spacing w:line="520" w:lineRule="exact"/>
        <w:ind w:firstLineChars="200" w:firstLine="640"/>
        <w:rPr>
          <w:rFonts w:ascii="仿宋_GB2312" w:eastAsia="仿宋_GB2312" w:hAnsiTheme="minorEastAsia" w:cs="宋体"/>
          <w:bCs/>
          <w:color w:val="333333"/>
          <w:kern w:val="0"/>
          <w:sz w:val="32"/>
          <w:szCs w:val="30"/>
        </w:rPr>
      </w:pPr>
      <w:r w:rsidRPr="008D3FB3">
        <w:rPr>
          <w:rFonts w:ascii="仿宋_GB2312" w:eastAsia="仿宋_GB2312" w:hAnsi="宋体" w:cs="宋体" w:hint="eastAsia"/>
          <w:bCs/>
          <w:sz w:val="32"/>
          <w:szCs w:val="30"/>
        </w:rPr>
        <w:t>该股东</w:t>
      </w:r>
      <w:r w:rsidR="00C059E1" w:rsidRPr="008D3FB3">
        <w:rPr>
          <w:rFonts w:ascii="仿宋_GB2312" w:eastAsia="仿宋_GB2312" w:hAnsiTheme="minorEastAsia" w:cs="宋体" w:hint="eastAsia"/>
          <w:bCs/>
          <w:color w:val="333333"/>
          <w:kern w:val="0"/>
          <w:sz w:val="32"/>
          <w:szCs w:val="30"/>
        </w:rPr>
        <w:t>能够严格按照法律法规、监管规定和</w:t>
      </w:r>
      <w:r w:rsidR="00785662" w:rsidRPr="008D3FB3">
        <w:rPr>
          <w:rFonts w:ascii="仿宋_GB2312" w:eastAsia="仿宋_GB2312" w:hAnsiTheme="minorEastAsia" w:cs="宋体" w:hint="eastAsia"/>
          <w:bCs/>
          <w:color w:val="333333"/>
          <w:kern w:val="0"/>
          <w:sz w:val="32"/>
          <w:szCs w:val="30"/>
        </w:rPr>
        <w:t>本行《章程》</w:t>
      </w:r>
      <w:r w:rsidR="00C059E1" w:rsidRPr="008D3FB3">
        <w:rPr>
          <w:rFonts w:ascii="仿宋_GB2312" w:eastAsia="仿宋_GB2312" w:hAnsiTheme="minorEastAsia" w:cs="宋体" w:hint="eastAsia"/>
          <w:bCs/>
          <w:color w:val="333333"/>
          <w:kern w:val="0"/>
          <w:sz w:val="32"/>
          <w:szCs w:val="30"/>
        </w:rPr>
        <w:t>行使股东权利，履行股东义务</w:t>
      </w:r>
      <w:r w:rsidR="00DB31BC" w:rsidRPr="008D3FB3">
        <w:rPr>
          <w:rFonts w:ascii="仿宋_GB2312" w:eastAsia="仿宋_GB2312" w:hAnsiTheme="minorEastAsia" w:cs="宋体" w:hint="eastAsia"/>
          <w:bCs/>
          <w:color w:val="333333"/>
          <w:kern w:val="0"/>
          <w:sz w:val="32"/>
          <w:szCs w:val="30"/>
        </w:rPr>
        <w:t>。</w:t>
      </w:r>
      <w:r w:rsidR="00C059E1" w:rsidRPr="008D3FB3">
        <w:rPr>
          <w:rFonts w:ascii="仿宋_GB2312" w:eastAsia="仿宋_GB2312" w:hAnsiTheme="minorEastAsia" w:cs="宋体" w:hint="eastAsia"/>
          <w:bCs/>
          <w:color w:val="333333"/>
          <w:kern w:val="0"/>
          <w:sz w:val="32"/>
          <w:szCs w:val="30"/>
        </w:rPr>
        <w:t>能够按照本行要求按期报送自身经营状况、财务信息</w:t>
      </w:r>
      <w:r w:rsidR="0011140D" w:rsidRPr="008D3FB3">
        <w:rPr>
          <w:rFonts w:ascii="仿宋_GB2312" w:eastAsia="仿宋_GB2312" w:hAnsiTheme="minorEastAsia" w:cs="宋体" w:hint="eastAsia"/>
          <w:bCs/>
          <w:color w:val="333333"/>
          <w:kern w:val="0"/>
          <w:sz w:val="32"/>
          <w:szCs w:val="30"/>
        </w:rPr>
        <w:t>和股权结构</w:t>
      </w:r>
      <w:r w:rsidR="00C059E1" w:rsidRPr="008D3FB3">
        <w:rPr>
          <w:rFonts w:ascii="仿宋_GB2312" w:eastAsia="仿宋_GB2312" w:hAnsiTheme="minorEastAsia" w:cs="宋体" w:hint="eastAsia"/>
          <w:bCs/>
          <w:color w:val="333333"/>
          <w:kern w:val="0"/>
          <w:sz w:val="32"/>
          <w:szCs w:val="30"/>
        </w:rPr>
        <w:t>等</w:t>
      </w:r>
      <w:r w:rsidR="0011140D" w:rsidRPr="008D3FB3">
        <w:rPr>
          <w:rFonts w:ascii="仿宋_GB2312" w:eastAsia="仿宋_GB2312" w:hAnsiTheme="minorEastAsia" w:cs="宋体" w:hint="eastAsia"/>
          <w:bCs/>
          <w:color w:val="333333"/>
          <w:kern w:val="0"/>
          <w:sz w:val="32"/>
          <w:szCs w:val="30"/>
        </w:rPr>
        <w:t>情况及相关报表</w:t>
      </w:r>
      <w:r w:rsidR="00C059E1" w:rsidRPr="008D3FB3">
        <w:rPr>
          <w:rFonts w:ascii="仿宋_GB2312" w:eastAsia="仿宋_GB2312" w:hAnsiTheme="minorEastAsia" w:cs="宋体" w:hint="eastAsia"/>
          <w:bCs/>
          <w:color w:val="333333"/>
          <w:kern w:val="0"/>
          <w:sz w:val="32"/>
          <w:szCs w:val="30"/>
        </w:rPr>
        <w:t>。</w:t>
      </w:r>
      <w:r w:rsidR="0011140D" w:rsidRPr="008D3FB3">
        <w:rPr>
          <w:rFonts w:ascii="仿宋_GB2312" w:eastAsia="仿宋_GB2312" w:hAnsiTheme="minorEastAsia" w:cs="宋体" w:hint="eastAsia"/>
          <w:bCs/>
          <w:color w:val="333333"/>
          <w:kern w:val="0"/>
          <w:sz w:val="32"/>
          <w:szCs w:val="30"/>
        </w:rPr>
        <w:t>不存在滥用股东权利干预或利用其影响力干预董事会、高级管理层根据</w:t>
      </w:r>
      <w:r w:rsidR="00785662" w:rsidRPr="008D3FB3">
        <w:rPr>
          <w:rFonts w:ascii="仿宋_GB2312" w:eastAsia="仿宋_GB2312" w:hAnsiTheme="minorEastAsia" w:cs="宋体" w:hint="eastAsia"/>
          <w:bCs/>
          <w:color w:val="333333"/>
          <w:kern w:val="0"/>
          <w:sz w:val="32"/>
          <w:szCs w:val="30"/>
        </w:rPr>
        <w:t>本行《章程》</w:t>
      </w:r>
      <w:r w:rsidR="0011140D" w:rsidRPr="008D3FB3">
        <w:rPr>
          <w:rFonts w:ascii="仿宋_GB2312" w:eastAsia="仿宋_GB2312" w:hAnsiTheme="minorEastAsia" w:cs="宋体" w:hint="eastAsia"/>
          <w:bCs/>
          <w:color w:val="333333"/>
          <w:kern w:val="0"/>
          <w:sz w:val="32"/>
          <w:szCs w:val="30"/>
        </w:rPr>
        <w:t>享有的决策权和管理权，不存在越过董事会和高级管理层直接干预或利用其影响力干预本行正常经营管理，进行利益输送，或以其他方式损害本行及本行客户、</w:t>
      </w:r>
      <w:r w:rsidR="0081158F" w:rsidRPr="008D3FB3">
        <w:rPr>
          <w:rFonts w:ascii="仿宋_GB2312" w:eastAsia="仿宋_GB2312" w:hAnsiTheme="minorEastAsia" w:cs="宋体" w:hint="eastAsia"/>
          <w:bCs/>
          <w:color w:val="333333"/>
          <w:kern w:val="0"/>
          <w:sz w:val="32"/>
          <w:szCs w:val="30"/>
        </w:rPr>
        <w:t>其他股东合法权益的行为，也不存在阻碍其他股东对本行补充资本或合格新股东进入等情况。</w:t>
      </w:r>
    </w:p>
    <w:p w:rsidR="006D07D8" w:rsidRPr="008D3FB3" w:rsidRDefault="006D07D8" w:rsidP="008D3FB3">
      <w:pPr>
        <w:widowControl/>
        <w:snapToGrid w:val="0"/>
        <w:spacing w:line="520" w:lineRule="exact"/>
        <w:ind w:firstLineChars="200" w:firstLine="640"/>
        <w:rPr>
          <w:rFonts w:ascii="黑体" w:eastAsia="黑体" w:hAnsi="黑体" w:cs="宋体"/>
          <w:bCs/>
          <w:color w:val="333333"/>
          <w:kern w:val="0"/>
          <w:sz w:val="32"/>
          <w:szCs w:val="30"/>
        </w:rPr>
      </w:pPr>
      <w:r w:rsidRPr="008D3FB3">
        <w:rPr>
          <w:rFonts w:ascii="黑体" w:eastAsia="黑体" w:hAnsi="黑体" w:cs="宋体" w:hint="eastAsia"/>
          <w:bCs/>
          <w:color w:val="333333"/>
          <w:kern w:val="0"/>
          <w:sz w:val="32"/>
          <w:szCs w:val="30"/>
        </w:rPr>
        <w:t>六、履行责任义务和承诺情况</w:t>
      </w:r>
    </w:p>
    <w:p w:rsidR="00A05589" w:rsidRPr="008D3FB3" w:rsidRDefault="00D64B2F" w:rsidP="008D3FB3">
      <w:pPr>
        <w:widowControl/>
        <w:snapToGrid w:val="0"/>
        <w:spacing w:line="520" w:lineRule="exact"/>
        <w:ind w:firstLineChars="200" w:firstLine="640"/>
        <w:rPr>
          <w:rFonts w:ascii="仿宋_GB2312" w:eastAsia="仿宋_GB2312" w:hAnsiTheme="minorEastAsia" w:cs="宋体"/>
          <w:bCs/>
          <w:color w:val="333333"/>
          <w:kern w:val="0"/>
          <w:sz w:val="32"/>
          <w:szCs w:val="30"/>
        </w:rPr>
      </w:pPr>
      <w:r w:rsidRPr="008D3FB3">
        <w:rPr>
          <w:rFonts w:ascii="仿宋_GB2312" w:eastAsia="仿宋_GB2312" w:hAnsi="宋体" w:cs="宋体" w:hint="eastAsia"/>
          <w:bCs/>
          <w:sz w:val="32"/>
          <w:szCs w:val="30"/>
        </w:rPr>
        <w:t>该股东</w:t>
      </w:r>
      <w:r w:rsidR="00480EF2" w:rsidRPr="008D3FB3">
        <w:rPr>
          <w:rFonts w:ascii="仿宋_GB2312" w:eastAsia="仿宋_GB2312" w:hAnsiTheme="minorEastAsia" w:cs="宋体" w:hint="eastAsia"/>
          <w:bCs/>
          <w:color w:val="333333"/>
          <w:kern w:val="0"/>
          <w:sz w:val="32"/>
          <w:szCs w:val="30"/>
        </w:rPr>
        <w:t>按照监管规定向本行提交书面承诺书，并能</w:t>
      </w:r>
      <w:r w:rsidR="00A05589" w:rsidRPr="008D3FB3">
        <w:rPr>
          <w:rFonts w:ascii="仿宋_GB2312" w:eastAsia="仿宋_GB2312" w:hAnsiTheme="minorEastAsia" w:cs="宋体" w:hint="eastAsia"/>
          <w:bCs/>
          <w:color w:val="333333"/>
          <w:kern w:val="0"/>
          <w:sz w:val="32"/>
          <w:szCs w:val="30"/>
        </w:rPr>
        <w:t>认真</w:t>
      </w:r>
      <w:r w:rsidR="00480EF2" w:rsidRPr="008D3FB3">
        <w:rPr>
          <w:rFonts w:ascii="仿宋_GB2312" w:eastAsia="仿宋_GB2312" w:hAnsiTheme="minorEastAsia" w:cs="宋体" w:hint="eastAsia"/>
          <w:bCs/>
          <w:color w:val="333333"/>
          <w:kern w:val="0"/>
          <w:sz w:val="32"/>
          <w:szCs w:val="30"/>
        </w:rPr>
        <w:t>履行各项承诺</w:t>
      </w:r>
      <w:r w:rsidR="00A05589" w:rsidRPr="008D3FB3">
        <w:rPr>
          <w:rFonts w:ascii="仿宋_GB2312" w:eastAsia="仿宋_GB2312" w:hAnsiTheme="minorEastAsia" w:cs="宋体" w:hint="eastAsia"/>
          <w:bCs/>
          <w:color w:val="333333"/>
          <w:kern w:val="0"/>
          <w:sz w:val="32"/>
          <w:szCs w:val="30"/>
        </w:rPr>
        <w:t>，未有出现违背承诺的</w:t>
      </w:r>
      <w:r w:rsidR="006B5BFC" w:rsidRPr="008D3FB3">
        <w:rPr>
          <w:rFonts w:ascii="仿宋_GB2312" w:eastAsia="仿宋_GB2312" w:hAnsiTheme="minorEastAsia" w:cs="宋体" w:hint="eastAsia"/>
          <w:bCs/>
          <w:color w:val="333333"/>
          <w:kern w:val="0"/>
          <w:sz w:val="32"/>
          <w:szCs w:val="30"/>
        </w:rPr>
        <w:t>情况</w:t>
      </w:r>
      <w:r w:rsidR="00A05589" w:rsidRPr="008D3FB3">
        <w:rPr>
          <w:rFonts w:ascii="仿宋_GB2312" w:eastAsia="仿宋_GB2312" w:hAnsiTheme="minorEastAsia" w:cs="宋体" w:hint="eastAsia"/>
          <w:bCs/>
          <w:color w:val="333333"/>
          <w:kern w:val="0"/>
          <w:sz w:val="32"/>
          <w:szCs w:val="30"/>
        </w:rPr>
        <w:t>。</w:t>
      </w:r>
    </w:p>
    <w:p w:rsidR="00DB31BC" w:rsidRPr="008D3FB3" w:rsidRDefault="00234A5F" w:rsidP="008D3FB3">
      <w:pPr>
        <w:widowControl/>
        <w:snapToGrid w:val="0"/>
        <w:spacing w:line="520" w:lineRule="exact"/>
        <w:ind w:firstLineChars="200" w:firstLine="640"/>
        <w:rPr>
          <w:rFonts w:ascii="黑体" w:eastAsia="黑体" w:hAnsi="黑体" w:cs="宋体"/>
          <w:bCs/>
          <w:color w:val="333333"/>
          <w:kern w:val="0"/>
          <w:sz w:val="32"/>
          <w:szCs w:val="30"/>
        </w:rPr>
      </w:pPr>
      <w:r w:rsidRPr="008D3FB3">
        <w:rPr>
          <w:rFonts w:ascii="黑体" w:eastAsia="黑体" w:hAnsi="黑体" w:cs="宋体" w:hint="eastAsia"/>
          <w:bCs/>
          <w:color w:val="333333"/>
          <w:kern w:val="0"/>
          <w:sz w:val="32"/>
          <w:szCs w:val="30"/>
        </w:rPr>
        <w:t>七</w:t>
      </w:r>
      <w:r w:rsidR="00DB31BC" w:rsidRPr="008D3FB3">
        <w:rPr>
          <w:rFonts w:ascii="黑体" w:eastAsia="黑体" w:hAnsi="黑体" w:cs="宋体" w:hint="eastAsia"/>
          <w:bCs/>
          <w:color w:val="333333"/>
          <w:kern w:val="0"/>
          <w:sz w:val="32"/>
          <w:szCs w:val="30"/>
        </w:rPr>
        <w:t>、落实公司章程和协议条款</w:t>
      </w:r>
      <w:r w:rsidRPr="008D3FB3">
        <w:rPr>
          <w:rFonts w:ascii="黑体" w:eastAsia="黑体" w:hAnsi="黑体" w:cs="宋体" w:hint="eastAsia"/>
          <w:bCs/>
          <w:color w:val="333333"/>
          <w:kern w:val="0"/>
          <w:sz w:val="32"/>
          <w:szCs w:val="30"/>
        </w:rPr>
        <w:t>情况</w:t>
      </w:r>
    </w:p>
    <w:p w:rsidR="00DB31BC" w:rsidRPr="008D3FB3" w:rsidRDefault="00D64B2F" w:rsidP="008D3FB3">
      <w:pPr>
        <w:widowControl/>
        <w:snapToGrid w:val="0"/>
        <w:spacing w:line="520" w:lineRule="exact"/>
        <w:ind w:firstLineChars="200" w:firstLine="640"/>
        <w:rPr>
          <w:rFonts w:ascii="仿宋_GB2312" w:eastAsia="仿宋_GB2312" w:hAnsiTheme="minorEastAsia" w:cs="宋体"/>
          <w:color w:val="333333"/>
          <w:kern w:val="0"/>
          <w:sz w:val="32"/>
          <w:szCs w:val="30"/>
        </w:rPr>
      </w:pPr>
      <w:r w:rsidRPr="008D3FB3">
        <w:rPr>
          <w:rFonts w:ascii="仿宋_GB2312" w:eastAsia="仿宋_GB2312" w:hAnsi="宋体" w:cs="宋体" w:hint="eastAsia"/>
          <w:bCs/>
          <w:sz w:val="32"/>
          <w:szCs w:val="30"/>
        </w:rPr>
        <w:lastRenderedPageBreak/>
        <w:t>该股东</w:t>
      </w:r>
      <w:r w:rsidR="003D24E6" w:rsidRPr="008D3FB3">
        <w:rPr>
          <w:rFonts w:ascii="仿宋_GB2312" w:eastAsia="仿宋_GB2312" w:hAnsiTheme="minorEastAsia" w:cs="宋体" w:hint="eastAsia"/>
          <w:color w:val="333333"/>
          <w:kern w:val="0"/>
          <w:sz w:val="32"/>
          <w:szCs w:val="30"/>
        </w:rPr>
        <w:t>自入股本行以来，能够按照</w:t>
      </w:r>
      <w:r w:rsidR="00785662" w:rsidRPr="008D3FB3">
        <w:rPr>
          <w:rFonts w:ascii="仿宋_GB2312" w:eastAsia="仿宋_GB2312" w:hAnsiTheme="minorEastAsia" w:cs="宋体" w:hint="eastAsia"/>
          <w:color w:val="333333"/>
          <w:kern w:val="0"/>
          <w:sz w:val="32"/>
          <w:szCs w:val="30"/>
        </w:rPr>
        <w:t>本行《章程》</w:t>
      </w:r>
      <w:r w:rsidR="003D24E6" w:rsidRPr="008D3FB3">
        <w:rPr>
          <w:rFonts w:ascii="仿宋_GB2312" w:eastAsia="仿宋_GB2312" w:hAnsiTheme="minorEastAsia" w:cs="宋体" w:hint="eastAsia"/>
          <w:color w:val="333333"/>
          <w:kern w:val="0"/>
          <w:sz w:val="32"/>
          <w:szCs w:val="30"/>
        </w:rPr>
        <w:t>行使出资人权利，履行出资人义务</w:t>
      </w:r>
      <w:r w:rsidR="00DB31BC" w:rsidRPr="008D3FB3">
        <w:rPr>
          <w:rFonts w:ascii="仿宋_GB2312" w:eastAsia="仿宋_GB2312" w:hAnsiTheme="minorEastAsia" w:cs="宋体" w:hint="eastAsia"/>
          <w:color w:val="333333"/>
          <w:kern w:val="0"/>
          <w:sz w:val="32"/>
          <w:szCs w:val="30"/>
        </w:rPr>
        <w:t>，对本行的</w:t>
      </w:r>
      <w:r w:rsidR="003D24E6" w:rsidRPr="008D3FB3">
        <w:rPr>
          <w:rFonts w:ascii="仿宋_GB2312" w:eastAsia="仿宋_GB2312" w:hAnsiTheme="minorEastAsia" w:cs="宋体" w:hint="eastAsia"/>
          <w:color w:val="333333"/>
          <w:kern w:val="0"/>
          <w:sz w:val="32"/>
          <w:szCs w:val="30"/>
        </w:rPr>
        <w:t>经营</w:t>
      </w:r>
      <w:r w:rsidR="00DB31BC" w:rsidRPr="008D3FB3">
        <w:rPr>
          <w:rFonts w:ascii="仿宋_GB2312" w:eastAsia="仿宋_GB2312" w:hAnsiTheme="minorEastAsia" w:cs="宋体" w:hint="eastAsia"/>
          <w:color w:val="333333"/>
          <w:kern w:val="0"/>
          <w:sz w:val="32"/>
          <w:szCs w:val="30"/>
        </w:rPr>
        <w:t>发展</w:t>
      </w:r>
      <w:r w:rsidR="005D09C1" w:rsidRPr="008D3FB3">
        <w:rPr>
          <w:rFonts w:ascii="仿宋_GB2312" w:eastAsia="仿宋_GB2312" w:hAnsiTheme="minorEastAsia" w:cs="宋体" w:hint="eastAsia"/>
          <w:color w:val="333333"/>
          <w:kern w:val="0"/>
          <w:sz w:val="32"/>
          <w:szCs w:val="30"/>
        </w:rPr>
        <w:t>发挥</w:t>
      </w:r>
      <w:r w:rsidR="00DB31BC" w:rsidRPr="008D3FB3">
        <w:rPr>
          <w:rFonts w:ascii="仿宋_GB2312" w:eastAsia="仿宋_GB2312" w:hAnsiTheme="minorEastAsia" w:cs="宋体" w:hint="eastAsia"/>
          <w:color w:val="333333"/>
          <w:kern w:val="0"/>
          <w:sz w:val="32"/>
          <w:szCs w:val="30"/>
        </w:rPr>
        <w:t>了积极和正面作用。</w:t>
      </w:r>
    </w:p>
    <w:p w:rsidR="00234A5F" w:rsidRPr="008D3FB3" w:rsidRDefault="00234A5F" w:rsidP="008D3FB3">
      <w:pPr>
        <w:widowControl/>
        <w:snapToGrid w:val="0"/>
        <w:spacing w:line="520" w:lineRule="exact"/>
        <w:ind w:firstLineChars="200" w:firstLine="640"/>
        <w:rPr>
          <w:rFonts w:ascii="黑体" w:eastAsia="黑体" w:hAnsi="黑体" w:cs="宋体"/>
          <w:bCs/>
          <w:color w:val="333333"/>
          <w:kern w:val="0"/>
          <w:sz w:val="32"/>
          <w:szCs w:val="30"/>
        </w:rPr>
      </w:pPr>
      <w:r w:rsidRPr="008D3FB3">
        <w:rPr>
          <w:rFonts w:ascii="黑体" w:eastAsia="黑体" w:hAnsi="黑体" w:cs="宋体" w:hint="eastAsia"/>
          <w:color w:val="333333"/>
          <w:kern w:val="0"/>
          <w:sz w:val="32"/>
          <w:szCs w:val="30"/>
        </w:rPr>
        <w:t>八、</w:t>
      </w:r>
      <w:r w:rsidRPr="008D3FB3">
        <w:rPr>
          <w:rFonts w:ascii="黑体" w:eastAsia="黑体" w:hAnsi="黑体" w:cs="宋体" w:hint="eastAsia"/>
          <w:bCs/>
          <w:color w:val="333333"/>
          <w:kern w:val="0"/>
          <w:sz w:val="32"/>
          <w:szCs w:val="30"/>
        </w:rPr>
        <w:t>遵守法律法规和监管规定情况</w:t>
      </w:r>
    </w:p>
    <w:p w:rsidR="00234A5F" w:rsidRPr="008D3FB3" w:rsidRDefault="00D64B2F" w:rsidP="008D3FB3">
      <w:pPr>
        <w:widowControl/>
        <w:snapToGrid w:val="0"/>
        <w:spacing w:line="520" w:lineRule="exact"/>
        <w:ind w:firstLineChars="200" w:firstLine="640"/>
        <w:rPr>
          <w:rFonts w:ascii="仿宋_GB2312" w:eastAsia="仿宋_GB2312" w:hAnsiTheme="minorEastAsia" w:cs="宋体"/>
          <w:color w:val="333333"/>
          <w:kern w:val="0"/>
          <w:sz w:val="32"/>
          <w:szCs w:val="30"/>
        </w:rPr>
      </w:pPr>
      <w:r w:rsidRPr="008D3FB3">
        <w:rPr>
          <w:rFonts w:ascii="仿宋_GB2312" w:eastAsia="仿宋_GB2312" w:hAnsi="宋体" w:cs="宋体" w:hint="eastAsia"/>
          <w:bCs/>
          <w:sz w:val="32"/>
          <w:szCs w:val="30"/>
        </w:rPr>
        <w:t>该股东</w:t>
      </w:r>
      <w:r w:rsidR="007C1E10" w:rsidRPr="008D3FB3">
        <w:rPr>
          <w:rFonts w:ascii="仿宋_GB2312" w:eastAsia="仿宋_GB2312" w:hAnsiTheme="minorEastAsia" w:cs="宋体" w:hint="eastAsia"/>
          <w:color w:val="333333"/>
          <w:kern w:val="0"/>
          <w:sz w:val="32"/>
          <w:szCs w:val="30"/>
        </w:rPr>
        <w:t>持股行为、关联交易行为符合监管要求，</w:t>
      </w:r>
      <w:r w:rsidR="00123104" w:rsidRPr="008D3FB3">
        <w:rPr>
          <w:rFonts w:ascii="仿宋_GB2312" w:eastAsia="仿宋_GB2312" w:hAnsiTheme="minorEastAsia" w:cs="宋体" w:hint="eastAsia"/>
          <w:color w:val="333333"/>
          <w:kern w:val="0"/>
          <w:sz w:val="32"/>
          <w:szCs w:val="30"/>
        </w:rPr>
        <w:t>能够严格遵守法律法规和监管规定履职尽责，合法、有效参与本行公司治理</w:t>
      </w:r>
      <w:r w:rsidR="00D44DE0" w:rsidRPr="008D3FB3">
        <w:rPr>
          <w:rFonts w:ascii="仿宋_GB2312" w:eastAsia="仿宋_GB2312" w:hAnsiTheme="minorEastAsia" w:cs="宋体" w:hint="eastAsia"/>
          <w:color w:val="333333"/>
          <w:kern w:val="0"/>
          <w:sz w:val="32"/>
          <w:szCs w:val="30"/>
        </w:rPr>
        <w:t>。认真学习和执行监管规定，严格自我约束，践行诚信原则，未利用大股东地位损害本行和其他利益相关者的合法权益。</w:t>
      </w:r>
    </w:p>
    <w:p w:rsidR="0049354B" w:rsidRPr="008D3FB3" w:rsidRDefault="0049354B" w:rsidP="008D3FB3">
      <w:pPr>
        <w:widowControl/>
        <w:snapToGrid w:val="0"/>
        <w:spacing w:line="520" w:lineRule="exact"/>
        <w:ind w:firstLineChars="200" w:firstLine="640"/>
        <w:rPr>
          <w:rFonts w:ascii="仿宋_GB2312" w:eastAsia="仿宋_GB2312" w:hAnsiTheme="minorEastAsia" w:cs="宋体"/>
          <w:color w:val="333333"/>
          <w:kern w:val="0"/>
          <w:sz w:val="32"/>
          <w:szCs w:val="30"/>
        </w:rPr>
      </w:pPr>
      <w:r w:rsidRPr="008D3FB3">
        <w:rPr>
          <w:rFonts w:ascii="仿宋_GB2312" w:eastAsia="仿宋_GB2312" w:hAnsiTheme="minorEastAsia" w:cs="宋体" w:hint="eastAsia"/>
          <w:color w:val="333333"/>
          <w:kern w:val="0"/>
          <w:sz w:val="32"/>
          <w:szCs w:val="30"/>
        </w:rPr>
        <w:t>综上所述，该股东的持股行为、治理行为、交易行为、责任义务等均符合法律法规、监管规定和本行《章程》的规定。</w:t>
      </w:r>
    </w:p>
    <w:p w:rsidR="003A5FA5" w:rsidRPr="008D3FB3" w:rsidRDefault="00DB31BC" w:rsidP="008D3FB3">
      <w:pPr>
        <w:snapToGrid w:val="0"/>
        <w:spacing w:line="520" w:lineRule="exact"/>
        <w:ind w:firstLineChars="200" w:firstLine="640"/>
        <w:rPr>
          <w:rFonts w:ascii="仿宋_GB2312" w:eastAsia="仿宋_GB2312" w:hAnsiTheme="minorEastAsia" w:cs="宋体"/>
          <w:color w:val="333333"/>
          <w:kern w:val="0"/>
          <w:sz w:val="32"/>
          <w:szCs w:val="30"/>
        </w:rPr>
      </w:pPr>
      <w:r w:rsidRPr="008D3FB3">
        <w:rPr>
          <w:rFonts w:ascii="仿宋_GB2312" w:eastAsia="仿宋_GB2312" w:hAnsiTheme="minorEastAsia" w:cs="宋体" w:hint="eastAsia"/>
          <w:color w:val="333333"/>
          <w:kern w:val="0"/>
          <w:sz w:val="32"/>
          <w:szCs w:val="30"/>
        </w:rPr>
        <w:t>以上报告，请予审议。</w:t>
      </w:r>
    </w:p>
    <w:p w:rsidR="008827C8" w:rsidRPr="008D3FB3" w:rsidRDefault="008827C8" w:rsidP="008D3FB3">
      <w:pPr>
        <w:snapToGrid w:val="0"/>
        <w:spacing w:line="520" w:lineRule="exact"/>
        <w:ind w:firstLineChars="200" w:firstLine="640"/>
        <w:rPr>
          <w:rFonts w:ascii="仿宋_GB2312" w:eastAsia="仿宋_GB2312" w:hAnsiTheme="minorEastAsia" w:cs="宋体"/>
          <w:color w:val="333333"/>
          <w:kern w:val="0"/>
          <w:sz w:val="32"/>
          <w:szCs w:val="30"/>
        </w:rPr>
      </w:pPr>
    </w:p>
    <w:p w:rsidR="008D3FB3" w:rsidRPr="008D3FB3" w:rsidRDefault="008D3FB3" w:rsidP="008D3FB3">
      <w:pPr>
        <w:spacing w:line="560" w:lineRule="exact"/>
        <w:ind w:firstLineChars="200" w:firstLine="640"/>
        <w:jc w:val="right"/>
        <w:rPr>
          <w:rFonts w:ascii="仿宋_GB2312" w:eastAsia="仿宋_GB2312"/>
          <w:sz w:val="32"/>
          <w:szCs w:val="32"/>
        </w:rPr>
      </w:pPr>
      <w:r w:rsidRPr="008D3FB3">
        <w:rPr>
          <w:rFonts w:ascii="仿宋_GB2312" w:eastAsia="仿宋_GB2312" w:hint="eastAsia"/>
          <w:sz w:val="32"/>
          <w:szCs w:val="32"/>
        </w:rPr>
        <w:t>提案人：扬州农商行第四届董事会</w:t>
      </w:r>
    </w:p>
    <w:p w:rsidR="008D3FB3" w:rsidRPr="008D3FB3" w:rsidRDefault="008D3FB3" w:rsidP="008D3FB3">
      <w:pPr>
        <w:spacing w:line="560" w:lineRule="exact"/>
        <w:ind w:firstLineChars="200" w:firstLine="640"/>
        <w:jc w:val="right"/>
        <w:rPr>
          <w:rFonts w:ascii="仿宋_GB2312" w:eastAsia="仿宋_GB2312"/>
          <w:sz w:val="32"/>
          <w:szCs w:val="32"/>
        </w:rPr>
      </w:pPr>
      <w:r w:rsidRPr="008D3FB3">
        <w:rPr>
          <w:rFonts w:ascii="仿宋_GB2312" w:eastAsia="仿宋_GB2312" w:hint="eastAsia"/>
          <w:sz w:val="32"/>
          <w:szCs w:val="32"/>
        </w:rPr>
        <w:t>2022年4月</w:t>
      </w:r>
      <w:r w:rsidR="00411C66">
        <w:rPr>
          <w:rFonts w:ascii="仿宋_GB2312" w:eastAsia="仿宋_GB2312" w:hint="eastAsia"/>
          <w:sz w:val="32"/>
          <w:szCs w:val="32"/>
        </w:rPr>
        <w:t>27</w:t>
      </w:r>
      <w:r w:rsidRPr="008D3FB3">
        <w:rPr>
          <w:rFonts w:ascii="仿宋_GB2312" w:eastAsia="仿宋_GB2312" w:hint="eastAsia"/>
          <w:sz w:val="32"/>
          <w:szCs w:val="32"/>
        </w:rPr>
        <w:t>日</w:t>
      </w:r>
    </w:p>
    <w:p w:rsidR="008D3FB3" w:rsidRPr="001C263F" w:rsidRDefault="008D3FB3" w:rsidP="008D3FB3">
      <w:pPr>
        <w:ind w:firstLineChars="200" w:firstLine="420"/>
      </w:pPr>
    </w:p>
    <w:p w:rsidR="008827C8" w:rsidRDefault="008827C8" w:rsidP="008D3FB3">
      <w:pPr>
        <w:snapToGrid w:val="0"/>
        <w:spacing w:line="520" w:lineRule="exact"/>
        <w:ind w:firstLineChars="200" w:firstLine="420"/>
        <w:jc w:val="right"/>
      </w:pPr>
    </w:p>
    <w:sectPr w:rsidR="008827C8" w:rsidSect="00094CF3">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68C0" w:rsidRDefault="006068C0" w:rsidP="00DB31BC">
      <w:r>
        <w:separator/>
      </w:r>
    </w:p>
  </w:endnote>
  <w:endnote w:type="continuationSeparator" w:id="1">
    <w:p w:rsidR="006068C0" w:rsidRDefault="006068C0" w:rsidP="00DB31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1785170"/>
      <w:docPartObj>
        <w:docPartGallery w:val="Page Numbers (Bottom of Page)"/>
        <w:docPartUnique/>
      </w:docPartObj>
    </w:sdtPr>
    <w:sdtContent>
      <w:p w:rsidR="00094CF3" w:rsidRDefault="00F72796">
        <w:pPr>
          <w:pStyle w:val="a4"/>
          <w:jc w:val="center"/>
        </w:pPr>
        <w:fldSimple w:instr=" PAGE   \* MERGEFORMAT ">
          <w:r w:rsidR="00411C66" w:rsidRPr="00411C66">
            <w:rPr>
              <w:noProof/>
              <w:lang w:val="zh-CN"/>
            </w:rPr>
            <w:t>-</w:t>
          </w:r>
          <w:r w:rsidR="00411C66">
            <w:rPr>
              <w:noProof/>
            </w:rPr>
            <w:t xml:space="preserve"> 3 -</w:t>
          </w:r>
        </w:fldSimple>
      </w:p>
    </w:sdtContent>
  </w:sdt>
  <w:p w:rsidR="000822C8" w:rsidRDefault="000822C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68C0" w:rsidRDefault="006068C0" w:rsidP="00DB31BC">
      <w:r>
        <w:separator/>
      </w:r>
    </w:p>
  </w:footnote>
  <w:footnote w:type="continuationSeparator" w:id="1">
    <w:p w:rsidR="006068C0" w:rsidRDefault="006068C0" w:rsidP="00DB31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31BC"/>
    <w:rsid w:val="000014AB"/>
    <w:rsid w:val="00015E09"/>
    <w:rsid w:val="00036318"/>
    <w:rsid w:val="00080E41"/>
    <w:rsid w:val="000822C8"/>
    <w:rsid w:val="00094CF3"/>
    <w:rsid w:val="00095988"/>
    <w:rsid w:val="000B4E46"/>
    <w:rsid w:val="000D3E17"/>
    <w:rsid w:val="000D5D17"/>
    <w:rsid w:val="000D6A0F"/>
    <w:rsid w:val="0011140D"/>
    <w:rsid w:val="001217F3"/>
    <w:rsid w:val="001227D6"/>
    <w:rsid w:val="00123104"/>
    <w:rsid w:val="001B253C"/>
    <w:rsid w:val="001D72C3"/>
    <w:rsid w:val="001D7A92"/>
    <w:rsid w:val="001E4BB1"/>
    <w:rsid w:val="00207A3A"/>
    <w:rsid w:val="00234A5F"/>
    <w:rsid w:val="002606C6"/>
    <w:rsid w:val="002704D2"/>
    <w:rsid w:val="002711F0"/>
    <w:rsid w:val="00280DDD"/>
    <w:rsid w:val="002A4761"/>
    <w:rsid w:val="002C674F"/>
    <w:rsid w:val="002F385F"/>
    <w:rsid w:val="0033136B"/>
    <w:rsid w:val="00360226"/>
    <w:rsid w:val="003A5FA5"/>
    <w:rsid w:val="003D24E6"/>
    <w:rsid w:val="003D36DF"/>
    <w:rsid w:val="00401F4E"/>
    <w:rsid w:val="00403716"/>
    <w:rsid w:val="00411C66"/>
    <w:rsid w:val="0042362E"/>
    <w:rsid w:val="0044662D"/>
    <w:rsid w:val="00480EF2"/>
    <w:rsid w:val="0049354B"/>
    <w:rsid w:val="00503E9A"/>
    <w:rsid w:val="00567FBC"/>
    <w:rsid w:val="005A7F0E"/>
    <w:rsid w:val="005C4089"/>
    <w:rsid w:val="005D09C1"/>
    <w:rsid w:val="005E16FE"/>
    <w:rsid w:val="006068C0"/>
    <w:rsid w:val="006B2C1C"/>
    <w:rsid w:val="006B5BFC"/>
    <w:rsid w:val="006D07D8"/>
    <w:rsid w:val="006E1BD8"/>
    <w:rsid w:val="006F2C15"/>
    <w:rsid w:val="00700CF4"/>
    <w:rsid w:val="0070589B"/>
    <w:rsid w:val="00705D56"/>
    <w:rsid w:val="00722ED3"/>
    <w:rsid w:val="00782160"/>
    <w:rsid w:val="00783CCE"/>
    <w:rsid w:val="00785662"/>
    <w:rsid w:val="007C1E10"/>
    <w:rsid w:val="007C51F5"/>
    <w:rsid w:val="007D0E20"/>
    <w:rsid w:val="0081158F"/>
    <w:rsid w:val="00816BD4"/>
    <w:rsid w:val="008746D1"/>
    <w:rsid w:val="008827C8"/>
    <w:rsid w:val="0088674B"/>
    <w:rsid w:val="008D3FB3"/>
    <w:rsid w:val="009074C8"/>
    <w:rsid w:val="00962DDA"/>
    <w:rsid w:val="00965978"/>
    <w:rsid w:val="009C4971"/>
    <w:rsid w:val="00A05589"/>
    <w:rsid w:val="00AC73A8"/>
    <w:rsid w:val="00AD1B46"/>
    <w:rsid w:val="00AF7799"/>
    <w:rsid w:val="00B360A1"/>
    <w:rsid w:val="00B715B8"/>
    <w:rsid w:val="00B93ECF"/>
    <w:rsid w:val="00BB63E2"/>
    <w:rsid w:val="00BF4C13"/>
    <w:rsid w:val="00C059E1"/>
    <w:rsid w:val="00C33F72"/>
    <w:rsid w:val="00C52446"/>
    <w:rsid w:val="00C53A7E"/>
    <w:rsid w:val="00CD2A38"/>
    <w:rsid w:val="00CD3B25"/>
    <w:rsid w:val="00D13432"/>
    <w:rsid w:val="00D44DE0"/>
    <w:rsid w:val="00D64B2F"/>
    <w:rsid w:val="00D931BC"/>
    <w:rsid w:val="00D97ACA"/>
    <w:rsid w:val="00DA58A1"/>
    <w:rsid w:val="00DB31BC"/>
    <w:rsid w:val="00DF2A69"/>
    <w:rsid w:val="00DF4570"/>
    <w:rsid w:val="00E021D8"/>
    <w:rsid w:val="00F72796"/>
    <w:rsid w:val="00F93A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E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31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31BC"/>
    <w:rPr>
      <w:sz w:val="18"/>
      <w:szCs w:val="18"/>
    </w:rPr>
  </w:style>
  <w:style w:type="paragraph" w:styleId="a4">
    <w:name w:val="footer"/>
    <w:basedOn w:val="a"/>
    <w:link w:val="Char0"/>
    <w:uiPriority w:val="99"/>
    <w:unhideWhenUsed/>
    <w:rsid w:val="00DB31BC"/>
    <w:pPr>
      <w:tabs>
        <w:tab w:val="center" w:pos="4153"/>
        <w:tab w:val="right" w:pos="8306"/>
      </w:tabs>
      <w:snapToGrid w:val="0"/>
      <w:jc w:val="left"/>
    </w:pPr>
    <w:rPr>
      <w:sz w:val="18"/>
      <w:szCs w:val="18"/>
    </w:rPr>
  </w:style>
  <w:style w:type="character" w:customStyle="1" w:styleId="Char0">
    <w:name w:val="页脚 Char"/>
    <w:basedOn w:val="a0"/>
    <w:link w:val="a4"/>
    <w:uiPriority w:val="99"/>
    <w:rsid w:val="00DB31B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205</Words>
  <Characters>1175</Characters>
  <Application>Microsoft Office Word</Application>
  <DocSecurity>0</DocSecurity>
  <Lines>9</Lines>
  <Paragraphs>2</Paragraphs>
  <ScaleCrop>false</ScaleCrop>
  <Company>Microsoft</Company>
  <LinksUpToDate>false</LinksUpToDate>
  <CharactersWithSpaces>1378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庄国臣</dc:creator>
  <cp:lastModifiedBy>陈超（女）</cp:lastModifiedBy>
  <cp:revision>5</cp:revision>
  <cp:lastPrinted>2022-01-27T03:05:00Z</cp:lastPrinted>
  <dcterms:created xsi:type="dcterms:W3CDTF">2022-03-29T09:01:00Z</dcterms:created>
  <dcterms:modified xsi:type="dcterms:W3CDTF">2022-04-27T08:27:00Z</dcterms:modified>
</cp:coreProperties>
</file>