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6269A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南银理财珠联璧合鑫逸稳一年279期封闭式公募人民币理财产品（NYXY001036）每周净值公告</w:t>
      </w:r>
    </w:p>
    <w:p w14:paraId="7EE3A634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7E6C04EF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，内部销售代码NYXY001036)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760BE62C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11064255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82B73F2" w14:textId="2F537D48" w:rsidR="000B3278" w:rsidRDefault="00EF5CC2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EF5CC2">
              <w:rPr>
                <w:rFonts w:ascii="方正仿宋简体" w:eastAsia="方正仿宋简体" w:hAnsi="Times New Roman"/>
                <w:szCs w:val="21"/>
              </w:rPr>
              <w:t>0.9999</w:t>
            </w:r>
          </w:p>
        </w:tc>
      </w:tr>
      <w:tr w:rsidR="000B3278" w14:paraId="44DF4F18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418A2F54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6D468167" w14:textId="6FBE9EB3" w:rsidR="000B3278" w:rsidRDefault="00EF5CC2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EF5CC2">
              <w:rPr>
                <w:rFonts w:ascii="方正仿宋简体" w:eastAsia="方正仿宋简体" w:hAnsi="Times New Roman"/>
                <w:szCs w:val="21"/>
              </w:rPr>
              <w:t>0.9999</w:t>
            </w:r>
          </w:p>
        </w:tc>
      </w:tr>
      <w:tr w:rsidR="000B3278" w14:paraId="2A494966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45EA1D2A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416DBF1B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374,455,725.01</w:t>
            </w:r>
          </w:p>
        </w:tc>
      </w:tr>
    </w:tbl>
    <w:p w14:paraId="589198AF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649B481D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342A78DF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5C6BD1E9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2F60BBC0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2D0F8201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6FB1E41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2AC47ECD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4F415A7C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193922FD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9480" w14:textId="77777777" w:rsidR="004325CA" w:rsidRDefault="004325CA" w:rsidP="000B3278">
      <w:r>
        <w:separator/>
      </w:r>
    </w:p>
  </w:endnote>
  <w:endnote w:type="continuationSeparator" w:id="0">
    <w:p w14:paraId="2640B1CA" w14:textId="77777777" w:rsidR="004325CA" w:rsidRDefault="004325CA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2568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FF48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C59A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CF46D" w14:textId="77777777" w:rsidR="004325CA" w:rsidRDefault="004325CA" w:rsidP="000B3278">
      <w:r>
        <w:separator/>
      </w:r>
    </w:p>
  </w:footnote>
  <w:footnote w:type="continuationSeparator" w:id="0">
    <w:p w14:paraId="6EEA97A9" w14:textId="77777777" w:rsidR="004325CA" w:rsidRDefault="004325CA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588D3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221E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4286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325CA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EF5CC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D0A90"/>
  <w15:docId w15:val="{4BED6EF1-BF42-4AA6-A51A-A66512BB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>bonj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