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南银理财鼎瑞悦稳红利（最低持有371天）公募人民币理财产品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南银理财鼎瑞悦稳红利（最低持有371天）公募人民币理财产品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995,260,285.53份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987,723,827.62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1.007197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1.029697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A33003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14,696,669.87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1.006959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1.027956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截至报告期末，本产品A33001份额净值为1.007197元，A33003份额净值为1.006959元。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90.42%</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9.58%</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602,821,785.03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322,508,983.79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75,234,289.88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0101050000000860</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南京银行南京分行南银理财鼎瑞悦稳红利最低持有371天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产品支付关联方托管费49,849.42元，支付关联方代销费0.00元。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