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南银理财珠联璧合鑫逸稳三年5期封闭式公募人民币理财产品</w:t>
      </w: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2024年第4季度报告</w:t>
      </w: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3B24A6" w:rsidRDefault="003B24A6">
      <w:pPr>
        <w:spacing w:before="240" w:after="72" w:line="360" w:lineRule="auto"/>
        <w:rPr>
          <w:rFonts w:ascii="方正黑体简体" w:eastAsia="方正黑体简体"/>
          <w:sz w:val="36"/>
          <w:szCs w:val="36"/>
        </w:rPr>
      </w:pPr>
    </w:p>
    <w:p w:rsidR="003B24A6" w:rsidRDefault="003B24A6">
      <w:pPr>
        <w:spacing w:before="240" w:after="72" w:line="360" w:lineRule="auto"/>
        <w:rPr>
          <w:rFonts w:ascii="方正黑体简体" w:eastAsia="方正黑体简体"/>
          <w:sz w:val="36"/>
          <w:szCs w:val="36"/>
        </w:rPr>
      </w:pPr>
    </w:p>
    <w:p w:rsidR="003B24A6" w:rsidRDefault="00C912C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19"/>
        <w:gridCol w:w="6178"/>
      </w:tblGrid>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南银理财珠联璧合鑫逸稳三年5期封闭式公募人民币理财产品</w:t>
            </w:r>
          </w:p>
        </w:tc>
      </w:tr>
      <w:tr w:rsidR="003B24A6">
        <w:trPr>
          <w:trHeight w:val="1300"/>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Z7003223000157（投资者可依据该编码在中国理财网www.chinawealth.com.cn查询理财产品相关信息）</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2023年08月23日</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124,081,137.00份</w:t>
            </w:r>
          </w:p>
        </w:tc>
      </w:tr>
      <w:tr w:rsidR="003B24A6">
        <w:trPr>
          <w:trHeight w:val="688"/>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中信信托有限责任公司,国投泰康信托有限公司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3B24A6" w:rsidRDefault="003B24A6">
      <w:pPr>
        <w:spacing w:before="240" w:after="72" w:line="360" w:lineRule="auto"/>
        <w:rPr>
          <w:rFonts w:ascii="方正仿宋_GBK" w:eastAsia="方正仿宋_GBK" w:hAnsi="宋体" w:cs="宋体"/>
          <w:kern w:val="0"/>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§2  主要财务指标</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3B24A6" w:rsidRDefault="00C912CD">
      <w:pPr>
        <w:spacing w:before="240" w:after="72" w:line="360" w:lineRule="auto"/>
        <w:jc w:val="right"/>
        <w:rPr>
          <w:rFonts w:ascii="方正仿宋简体" w:eastAsia="方正仿宋简体"/>
          <w:sz w:val="24"/>
          <w:szCs w:val="24"/>
        </w:rPr>
      </w:pPr>
      <w:r>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838"/>
        <w:gridCol w:w="2693"/>
        <w:gridCol w:w="2410"/>
        <w:gridCol w:w="2126"/>
      </w:tblGrid>
      <w:tr w:rsidR="003B24A6">
        <w:trPr>
          <w:trHeight w:val="699"/>
          <w:jc w:val="center"/>
        </w:trPr>
        <w:tc>
          <w:tcPr>
            <w:tcW w:w="1838" w:type="dxa"/>
            <w:vMerge w:val="restart"/>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7229" w:type="dxa"/>
            <w:gridSpan w:val="3"/>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报告期（2024年10月01日 - 2024年12月31日）</w:t>
            </w:r>
          </w:p>
        </w:tc>
      </w:tr>
      <w:tr w:rsidR="003B24A6">
        <w:trPr>
          <w:trHeight w:val="1697"/>
          <w:jc w:val="center"/>
        </w:trPr>
        <w:tc>
          <w:tcPr>
            <w:tcW w:w="1838" w:type="dxa"/>
            <w:vMerge/>
            <w:vAlign w:val="center"/>
          </w:tcPr>
          <w:p w:rsidR="003B24A6" w:rsidRDefault="003B24A6" w:rsidP="007A5648">
            <w:pPr>
              <w:spacing w:beforeLines="20" w:afterLines="20"/>
              <w:jc w:val="center"/>
              <w:rPr>
                <w:rFonts w:ascii="方正仿宋简体" w:eastAsia="方正仿宋简体"/>
                <w:sz w:val="24"/>
                <w:szCs w:val="24"/>
              </w:rPr>
            </w:pPr>
          </w:p>
        </w:tc>
        <w:tc>
          <w:tcPr>
            <w:tcW w:w="269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1.期末产品最后一个市场交易日资产净值</w:t>
            </w:r>
          </w:p>
        </w:tc>
        <w:tc>
          <w:tcPr>
            <w:tcW w:w="241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2.期末产品最后一个市场交易日份额净值</w:t>
            </w:r>
          </w:p>
        </w:tc>
        <w:tc>
          <w:tcPr>
            <w:tcW w:w="212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Y90005</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131,293,841.98</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1.0581</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1.0581</w:t>
            </w:r>
          </w:p>
        </w:tc>
      </w:tr>
    </w:tbl>
    <w:p w:rsidR="003B24A6" w:rsidRDefault="00C912CD">
      <w:pPr>
        <w:pStyle w:val="biaogeleft"/>
        <w:spacing w:before="240" w:after="72" w:line="360" w:lineRule="auto"/>
        <w:ind w:left="0"/>
        <w:rPr>
          <w:rFonts w:ascii="方正仿宋简体" w:eastAsia="方正仿宋简体" w:hAnsi="Times New Roman" w:cs="Times New Roman"/>
          <w:kern w:val="2"/>
        </w:rPr>
      </w:pPr>
      <w:r>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§3  管理人报告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hint="eastAsia"/>
          <w:sz w:val="24"/>
          <w:szCs w:val="24"/>
        </w:rPr>
        <w:t>  9月中下旬随着对央行和财政政策的预期逐步升温，10Y国债收益率在迫近2%后开启反弹，反弹幅度达到20BP以上，三季度信用债相比利率债而言，走势相对较弱，主要是由于在上半年利率下行的过程中，等级利差和信用利差均压至历史极低位置，因此在8月开始信用债便开始与利率走势有所分化，截至9月末，信用利差和期限利差多数走阔20bp以上，回到相对合理的位置,国庆后,随着权益市场的风险偏好的抬升，利率呈现震荡状态，信用债继续延续调整的态势，进入11月后，市场开始预期降准降息，市场开始抢跑，10年国债利率最低下行至1.7%附近，对降息预期定价较为充分，信用利差和期限利差被动走阔。</w:t>
        <w:br w:type="textWrapping" w:clear="all"/>
      </w:r>
      <w:r>
        <w:rPr>
          <w:rFonts w:ascii="方正仿宋简体" w:eastAsia="方正仿宋简体" w:hint="eastAsia"/>
          <w:sz w:val="24"/>
          <w:szCs w:val="24"/>
        </w:rPr>
        <w:t>  展望2025年1季度，对债券市场并不悲观，从货币的角度来看，当前的经济基本面偏弱的格局并不支持货币政策出现转向，进一步降准降息值得期待。</w:t>
        <w:br w:type="textWrapping" w:clear="all"/>
      </w:r>
      <w:r>
        <w:rPr>
          <w:rFonts w:ascii="方正仿宋简体" w:eastAsia="方正仿宋简体" w:hint="eastAsia"/>
          <w:sz w:val="24"/>
          <w:szCs w:val="24"/>
        </w:rPr>
        <w:t>  操作方面，坚持稳健运作的投资理念，对于利差保护较足的信用资产积极配置，同时关注交易活跃品种的波段机会，根据对后市的研判灵活摆布资产久期与杠杆水平，获取稳健的投资回报。</w:t>
      </w:r>
      <w:r>
        <w:rPr>
          <w:rFonts w:ascii="方正仿宋简体" w:eastAsia="方正仿宋简体" w:hint="eastAsia"/>
          <w:sz w:val="24"/>
          <w:szCs w:val="24"/>
        </w:rPr>
        <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截至报告期末，本产品份额净值为1.0581元。</w:t>
      </w:r>
    </w:p>
    <w:p w:rsidR="003B24A6" w:rsidRDefault="003B24A6">
      <w:pPr>
        <w:spacing w:before="240" w:after="72" w:line="360" w:lineRule="auto"/>
        <w:rPr>
          <w:rFonts w:ascii="方正仿宋_GBK" w:eastAsia="方正仿宋_GBK" w:hAnsi="宋体"/>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§4  投资组合报告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资产类别</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穿透前占总资产比例</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穿透后占总资产比例</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lastRenderedPageBreak/>
              <w:t>1</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固定收益类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权益类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商品及金融衍生品类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4</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混合类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5</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合计</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bl>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3B24A6">
        <w:trPr>
          <w:trHeight w:val="1233"/>
          <w:jc w:val="center"/>
        </w:trPr>
        <w:tc>
          <w:tcPr>
            <w:tcW w:w="75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8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代码</w:t>
            </w:r>
          </w:p>
        </w:tc>
        <w:tc>
          <w:tcPr>
            <w:tcW w:w="271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名称</w:t>
            </w:r>
          </w:p>
        </w:tc>
        <w:tc>
          <w:tcPr>
            <w:tcW w:w="205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公允价值（元）</w:t>
            </w:r>
          </w:p>
        </w:tc>
        <w:tc>
          <w:tcPr>
            <w:tcW w:w="180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占产品资产净值比例（％）</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ZJQTT202311240001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国投泰康信托福佳3号集合资金信托计划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72,108,505.15</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54.92</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23881948</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23华诚医学02</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39,000,000.00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29.70</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XTDKX202310170001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中信信托·兴邦58号固定收益类信托计划-第【1】期信托单位</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19,113,830.90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14.56</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383"/>
        <w:gridCol w:w="1271"/>
        <w:gridCol w:w="876"/>
      </w:tblGrid>
      <w:tr w:rsidR="003B24A6">
        <w:trPr>
          <w:trHeight w:val="1078"/>
          <w:jc w:val="center"/>
        </w:trPr>
        <w:tc>
          <w:tcPr>
            <w:tcW w:w="87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融资客户</w:t>
            </w:r>
          </w:p>
        </w:tc>
        <w:tc>
          <w:tcPr>
            <w:tcW w:w="1275"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项目名称</w:t>
            </w:r>
          </w:p>
        </w:tc>
        <w:tc>
          <w:tcPr>
            <w:tcW w:w="154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剩余融资期限（</w:t>
            </w:r>
            <w:r>
              <w:rPr>
                <w:rFonts w:ascii="方正仿宋简体" w:eastAsia="方正仿宋简体"/>
                <w:sz w:val="24"/>
                <w:szCs w:val="24"/>
              </w:rPr>
              <w:t>天）</w:t>
            </w:r>
          </w:p>
        </w:tc>
        <w:tc>
          <w:tcPr>
            <w:tcW w:w="13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到期收益分配</w:t>
            </w:r>
          </w:p>
        </w:tc>
        <w:tc>
          <w:tcPr>
            <w:tcW w:w="127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交易结构</w:t>
            </w:r>
          </w:p>
        </w:tc>
        <w:tc>
          <w:tcPr>
            <w:tcW w:w="87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淮安市清江浦城投控股集团有限公司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中信信托·兴邦58号固定收益类信托计划-第【1】期信托单位</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262</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泰州华诚医学投资集团有限公司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23华诚医学02</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217</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46"/>
        <w:gridCol w:w="1417"/>
        <w:gridCol w:w="2668"/>
        <w:gridCol w:w="1983"/>
        <w:gridCol w:w="1988"/>
      </w:tblGrid>
      <w:tr w:rsidR="003B24A6">
        <w:trPr>
          <w:trHeight w:val="584"/>
          <w:jc w:val="center"/>
        </w:trPr>
        <w:tc>
          <w:tcPr>
            <w:tcW w:w="84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41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账户类型</w:t>
            </w:r>
          </w:p>
        </w:tc>
        <w:tc>
          <w:tcPr>
            <w:tcW w:w="266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账号</w:t>
            </w:r>
          </w:p>
        </w:tc>
        <w:tc>
          <w:tcPr>
            <w:tcW w:w="19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账户名称</w:t>
            </w:r>
          </w:p>
        </w:tc>
        <w:tc>
          <w:tcPr>
            <w:tcW w:w="198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0101070000000661</w:t>
            </w:r>
          </w:p>
        </w:tc>
        <w:tc>
          <w:tcPr>
            <w:tcW w:w="19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南京银行南京分行南银理财鑫逸稳三年5期</w:t>
            </w:r>
          </w:p>
        </w:tc>
        <w:tc>
          <w:tcPr>
            <w:tcW w:w="198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3B24A6" w:rsidRDefault="003B24A6">
      <w:pPr>
        <w:spacing w:afterLines="0" w:line="360" w:lineRule="auto"/>
        <w:rPr>
          <w:rFonts w:ascii="方正仿宋_GBK" w:eastAsia="方正仿宋_GBK"/>
          <w:sz w:val="24"/>
          <w:szCs w:val="24"/>
        </w:rPr>
      </w:pPr>
    </w:p>
    <w:p w:rsidR="003B24A6" w:rsidRDefault="003B24A6">
      <w:pPr>
        <w:spacing w:before="240" w:after="72" w:line="360" w:lineRule="auto"/>
        <w:jc w:val="center"/>
        <w:rPr>
          <w:rFonts w:ascii="方正仿宋_GBK" w:eastAsia="方正仿宋_GBK"/>
          <w:b/>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§6 关联交易情况</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w:t>
      </w:r>
      <w:r>
        <w:rPr>
          <w:rFonts w:ascii="方正仿宋简体" w:eastAsia="方正仿宋简体" w:hAnsi="宋体" w:cs="宋体" w:hint="eastAsia"/>
          <w:color w:val="000000"/>
          <w:kern w:val="0"/>
          <w:sz w:val="24"/>
          <w:szCs w:val="24"/>
        </w:rPr>
        <w:t>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产品投资于关联方作为融资人的非标准化债权类资产业务交易金额0.00元。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产品投资于关联方承销的证券交易金额0.00元。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产品与关联方作为交易对手开展的投融资业务交易金额0.00元。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产品投资关联方作为管理人的资产管理产品交易金额0.00元。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产品支付关联方托管费0.00元，支付关联方代销费0.00元。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lastRenderedPageBreak/>
        <w:t>产品发生其他关联交易金额0.00元。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报告期内，产品未发生重大关联交易。</w:t>
      </w: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jc w:val="right"/>
        <w:rPr>
          <w:rFonts w:ascii="方正仿宋_GBK" w:eastAsia="方正仿宋_GBK"/>
          <w:b/>
          <w:sz w:val="24"/>
          <w:szCs w:val="24"/>
        </w:rPr>
      </w:pP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南银理财有限责任公司</w:t>
      </w: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p w:rsidR="003B24A6" w:rsidRDefault="003B24A6">
      <w:pPr>
        <w:spacing w:before="240" w:after="72" w:line="360" w:lineRule="auto"/>
        <w:rPr>
          <w:rFonts w:ascii="方正仿宋_GBK" w:eastAsia="方正仿宋_GBK"/>
          <w:sz w:val="24"/>
          <w:szCs w:val="24"/>
        </w:rPr>
      </w:pPr>
    </w:p>
    <w:p w:rsidR="003B24A6" w:rsidRDefault="003B24A6">
      <w:pPr>
        <w:spacing w:before="240" w:after="72" w:line="360" w:lineRule="auto"/>
        <w:rPr>
          <w:rFonts w:ascii="方正仿宋_GBK" w:eastAsia="方正仿宋_GBK"/>
          <w:sz w:val="24"/>
          <w:szCs w:val="24"/>
        </w:rPr>
      </w:pPr>
    </w:p>
    <w:sectPr w:rsidR="003B24A6" w:rsidSect="003B24A6">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5F87" w:rsidRDefault="00E15F87" w:rsidP="00F948EF">
      <w:pPr>
        <w:spacing w:after="72"/>
      </w:pPr>
      <w:r>
        <w:separator/>
      </w:r>
    </w:p>
  </w:endnote>
  <w:endnote w:type="continuationSeparator" w:id="1">
    <w:p w:rsidR="00E15F87" w:rsidRDefault="00E15F87" w:rsidP="00F948EF">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default"/>
    <w:sig w:usb0="00000000" w:usb1="0000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charset w:val="00"/>
    <w:family w:val="swiss"/>
    <w:pitch w:val="default"/>
    <w:sig w:usb0="A00002EF" w:usb1="4000207B" w:usb2="00000000" w:usb3="00000000" w:csb0="2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E455C5">
    <w:pPr>
      <w:pStyle w:val="a3"/>
      <w:framePr w:wrap="around" w:vAnchor="text" w:hAnchor="margin" w:xAlign="center" w:y="1"/>
      <w:spacing w:after="72"/>
      <w:rPr>
        <w:rStyle w:val="a6"/>
      </w:rPr>
    </w:pPr>
    <w:r>
      <w:fldChar w:fldCharType="begin"/>
    </w:r>
    <w:r w:rsidR="00C912CD">
      <w:rPr>
        <w:rStyle w:val="a6"/>
      </w:rPr>
      <w:instrText xml:space="preserve">PAGE  </w:instrText>
    </w:r>
    <w:r>
      <w:fldChar w:fldCharType="end"/>
    </w:r>
  </w:p>
  <w:p w:rsidR="003B24A6" w:rsidRDefault="003B24A6">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5F87" w:rsidRDefault="00E15F87" w:rsidP="00F948EF">
      <w:pPr>
        <w:spacing w:after="72"/>
      </w:pPr>
      <w:r>
        <w:separator/>
      </w:r>
    </w:p>
  </w:footnote>
  <w:footnote w:type="continuationSeparator" w:id="1">
    <w:p w:rsidR="00E15F87" w:rsidRDefault="00E15F87" w:rsidP="00F948EF">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4A6"/>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9527B"/>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A5648"/>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16B0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26100"/>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770E5"/>
    <w:rsid w:val="00C912CD"/>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15F87"/>
    <w:rsid w:val="00E2696A"/>
    <w:rsid w:val="00E41BB2"/>
    <w:rsid w:val="00E455C5"/>
    <w:rsid w:val="00E463CC"/>
    <w:rsid w:val="00E60602"/>
    <w:rsid w:val="00E66EA9"/>
    <w:rsid w:val="00E76CD6"/>
    <w:rsid w:val="00E80B2A"/>
    <w:rsid w:val="00EA36AD"/>
    <w:rsid w:val="00EB538F"/>
    <w:rsid w:val="00EB5E48"/>
    <w:rsid w:val="00EB6923"/>
    <w:rsid w:val="00EE60F1"/>
    <w:rsid w:val="00EF160C"/>
    <w:rsid w:val="00EF651B"/>
    <w:rsid w:val="00F02F01"/>
    <w:rsid w:val="00F07A35"/>
    <w:rsid w:val="00F11AF8"/>
    <w:rsid w:val="00F12482"/>
    <w:rsid w:val="00F35159"/>
    <w:rsid w:val="00F4518F"/>
    <w:rsid w:val="00F62D3E"/>
    <w:rsid w:val="00F81FB3"/>
    <w:rsid w:val="00F91E69"/>
    <w:rsid w:val="00F948EF"/>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24A6"/>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3B24A6"/>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3B24A6"/>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3B24A6"/>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3B24A6"/>
  </w:style>
  <w:style w:type="character" w:customStyle="1" w:styleId="Char">
    <w:name w:val="页脚 Char"/>
    <w:link w:val="a3"/>
    <w:uiPriority w:val="99"/>
    <w:qFormat/>
    <w:locked/>
    <w:rsid w:val="003B24A6"/>
    <w:rPr>
      <w:rFonts w:ascii="Times New Roman" w:hAnsi="Times New Roman" w:cs="Times New Roman"/>
      <w:sz w:val="18"/>
      <w:szCs w:val="18"/>
    </w:rPr>
  </w:style>
  <w:style w:type="character" w:customStyle="1" w:styleId="Char1">
    <w:name w:val="页脚 Char1"/>
    <w:basedOn w:val="a0"/>
    <w:uiPriority w:val="99"/>
    <w:semiHidden/>
    <w:qFormat/>
    <w:rsid w:val="003B24A6"/>
    <w:rPr>
      <w:rFonts w:ascii="Times New Roman" w:eastAsia="宋体" w:hAnsi="Times New Roman" w:cs="Times New Roman"/>
      <w:sz w:val="18"/>
      <w:szCs w:val="18"/>
    </w:rPr>
  </w:style>
  <w:style w:type="paragraph" w:customStyle="1" w:styleId="biaogeleft">
    <w:name w:val="biaoge_left"/>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3B24A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3B24A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3B24A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3B24A6"/>
    <w:pPr>
      <w:jc w:val="both"/>
    </w:pPr>
    <w:rPr>
      <w:rFonts w:ascii="Times New Roman" w:eastAsia="宋体" w:hAnsi="Times New Roman" w:cs="Times New Roman"/>
      <w:kern w:val="2"/>
      <w:sz w:val="21"/>
      <w:szCs w:val="21"/>
    </w:rPr>
  </w:style>
  <w:style w:type="paragraph" w:customStyle="1" w:styleId="biaogeright">
    <w:name w:val="biaoge_right"/>
    <w:basedOn w:val="a"/>
    <w:qFormat/>
    <w:rsid w:val="003B24A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3B24A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3B24A6"/>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3B24A6"/>
    <w:rPr>
      <w:rFonts w:ascii="Times New Roman" w:eastAsia="宋体" w:hAnsi="Times New Roman" w:cs="Times New Roman"/>
      <w:sz w:val="18"/>
      <w:szCs w:val="18"/>
    </w:rPr>
  </w:style>
  <w:style w:type="paragraph" w:styleId="a7">
    <w:name w:val="Body Text"/>
    <w:basedOn w:val="a"/>
    <w:link w:val="Char2"/>
    <w:uiPriority w:val="1"/>
    <w:qFormat/>
    <w:rsid w:val="00F948EF"/>
    <w:pPr>
      <w:autoSpaceDE w:val="0"/>
      <w:autoSpaceDN w:val="0"/>
      <w:spacing w:afterLines="0"/>
      <w:jc w:val="left"/>
    </w:pPr>
    <w:rPr>
      <w:rFonts w:ascii="宋体" w:hAnsi="宋体" w:cs="宋体"/>
      <w:kern w:val="0"/>
      <w:szCs w:val="21"/>
      <w:lang w:val="zh-CN" w:bidi="zh-CN"/>
    </w:rPr>
  </w:style>
  <w:style w:type="character" w:customStyle="1" w:styleId="Char2">
    <w:name w:val="正文文本 Char"/>
    <w:basedOn w:val="a0"/>
    <w:link w:val="a7"/>
    <w:uiPriority w:val="1"/>
    <w:rsid w:val="00F948EF"/>
    <w:rPr>
      <w:rFonts w:ascii="宋体" w:eastAsia="宋体" w:hAnsi="宋体" w:cs="宋体"/>
      <w:sz w:val="21"/>
      <w:szCs w:val="21"/>
      <w:lang w:val="zh-CN" w:bidi="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320</Words>
  <Characters>1824</Characters>
  <Application>Microsoft Office Word</Application>
  <DocSecurity>0</DocSecurity>
  <Lines>15</Lines>
  <Paragraphs>4</Paragraphs>
  <ScaleCrop>false</ScaleCrop>
  <Company>cc</Company>
  <LinksUpToDate>false</LinksUpToDate>
  <CharactersWithSpaces>2140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yytx</cp:lastModifiedBy>
  <dcterms:modified xsi:type="dcterms:W3CDTF">2025-01-14T08:15:00Z</dcterms:modified>
  <cp:revision>121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