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南银理财珠联璧合悦稳（最低持有280天）公募人民币理财产品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南银理财珠联璧合悦稳（最低持有280天）公募人民币理财产品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Z7003222000028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2022年04月27日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4,948,117,003.10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100.12%</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中粮信托有限责任公司,广发基金管理有限公司,鑫元基金管理有限公司,鹏华基金管理有限公司,陆家嘴国际信托有限公司,太平洋资产管理有限责任公司,江苏省国际信托有限责任公司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4,361,390,247.75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1.0878</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16,915.60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1,024,005,563.43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1.0907</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1.0907</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A32005份额净值为1.0878元，A32006份额净值为1.0907</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94.45</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5.55</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2,022,824,723.00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1,605,528,665.38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778,244,351.24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中国银行定期存款20240510C</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太平洋卓越纯债2号产品</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75,237,520.74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015530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鹏华稳福中短债债券A</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50,346,054.61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009532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广发景明中短债E</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50,091,778.57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中国银行定期存款20240510B</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DQCKX202405170003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中国银行定期存款20240517</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0120050000000806</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南银理财悦稳最低持有280天</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99,032,000.00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1,374,000,000.00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971,268.93</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3,631,839.51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