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xsi="http://www.w3.org/2001/XMLSchema-instance">
  <w:body>
    <w:p w:rsidR="003041BA" w:rsidRDefault="003041BA">
      <w:pPr>
        <w:spacing w:before="240"/>
        <w:jc w:val="center"/>
      </w:pPr>
    </w:p>
    <w:p w:rsidR="003041BA" w:rsidRDefault="003041BA">
      <w:pPr>
        <w:spacing w:before="240"/>
        <w:jc w:val="center"/>
      </w:pPr>
    </w:p>
    <w:p w:rsidR="003041BA" w:rsidRDefault="003041BA">
      <w:pPr>
        <w:spacing w:before="240"/>
        <w:jc w:val="center"/>
      </w:pPr>
    </w:p>
    <w:p w:rsidR="003041BA" w:rsidRDefault="003F38EF">
      <w:pPr>
        <w:spacing w:before="240"/>
        <w:jc w:val="center"/>
        <w:rPr>
          <w:rFonts w:ascii="方正黑体简体" w:eastAsia="方正黑体简体"/>
          <w:sz w:val="36"/>
        </w:rPr>
      </w:pPr>
      <w:r>
        <w:rPr>
          <w:rFonts w:ascii="方正黑体简体" w:eastAsia="方正黑体简体"/>
          <w:sz w:val="36"/>
        </w:rPr>
        <w:t>南银理财珠联璧合安稳1908一年定开公募人民币理财产品</w:t>
      </w:r>
    </w:p>
    <w:p w:rsidR="003041BA" w:rsidRDefault="003F38EF">
      <w:pPr>
        <w:spacing w:before="240"/>
        <w:jc w:val="center"/>
        <w:rPr>
          <w:rFonts w:ascii="方正黑体简体" w:eastAsia="方正黑体简体" w:hAnsi="黑体"/>
          <w:sz w:val="36"/>
        </w:rPr>
      </w:pPr>
      <w:r>
        <w:rPr>
          <w:rFonts w:ascii="方正黑体简体" w:eastAsia="方正黑体简体" w:hAnsi="黑体"/>
          <w:sz w:val="36"/>
        </w:rPr>
        <w:t>2024</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041BA">
      <w:pPr>
        <w:spacing w:before="240"/>
        <w:jc w:val="center"/>
        <w:rPr>
          <w:rFonts w:ascii="黑体" w:eastAsia="黑体" w:hAnsi="黑体"/>
          <w:sz w:val="36"/>
        </w:rPr>
      </w:pPr>
    </w:p>
    <w:p w:rsidR="003041BA" w:rsidRDefault="003F38EF">
      <w:pPr>
        <w:spacing w:before="240"/>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3041BA" w:rsidRDefault="003F38EF">
      <w:pPr>
        <w:spacing w:before="240"/>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3041BA" w:rsidRDefault="003F38EF">
      <w:pPr>
        <w:spacing w:before="240"/>
        <w:rPr>
          <w:rFonts w:ascii="方正仿宋简体" w:eastAsia="方正仿宋简体"/>
          <w:sz w:val="24"/>
          <w:szCs w:val="24"/>
        </w:rPr>
      </w:pPr>
      <w:r>
        <w:rPr>
          <w:rFonts w:ascii="方正仿宋简体" w:eastAsia="方正仿宋简体" w:hint="eastAsia"/>
          <w:sz w:val="24"/>
          <w:szCs w:val="24"/>
        </w:rPr>
        <w:br w:type="page"/>
      </w:r>
    </w:p>
    <w:p w:rsidR="003041BA" w:rsidRDefault="003F38EF">
      <w:pPr>
        <w:spacing w:before="240"/>
        <w:jc w:val="center"/>
        <w:rPr>
          <w:rFonts w:ascii="方正仿宋简体" w:eastAsia="方正仿宋简体"/>
          <w:b/>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p w:rsidR="003041BA" w:rsidRDefault="003041BA">
      <w:pPr>
        <w:spacing w:before="240"/>
        <w:rPr>
          <w:rFonts w:ascii="方正仿宋简体" w:eastAsia="方正仿宋简体" w:hAnsi="宋体" w:cs="宋体"/>
          <w:kern w:val="0"/>
          <w:sz w:val="24"/>
          <w:szCs w:val="24"/>
        </w:rPr>
      </w:pPr>
    </w:p>
    <w:tbl>
      <w:tblPr>
        <w:tblW w:w="919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11"/>
        <w:gridCol w:w="6387"/>
      </w:tblGrid>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产品全称</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南银理财珠联璧合安稳1908一年定开公募人民币理财产品</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产品登记编码</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Z7003221000023</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产品运作方式</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开放式净值型</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产品成立日</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2019年08月15日</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报告期末产品份额总额</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3,833,617,198.28</w:t>
            </w:r>
            <w:r>
              <w:rPr>
                <w:rFonts w:ascii="方正仿宋简体" w:eastAsia="方正仿宋简体" w:hint="eastAsia"/>
                <w:sz w:val="24"/>
                <w:szCs w:val="24"/>
              </w:rPr>
              <w:t>份</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报告期末产品杠杆水平</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sz w:val="24"/>
                <w:szCs w:val="24"/>
              </w:rPr>
              <w:t>104.37%</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合作机构</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万家基金管理有限公司,中信信托有限责任公司,中粮信托有限责任公司,云南国际信托有限公司,华鑫国际信托有限公司,国投泰康信托有限公司,天弘基金管理有限公司,广东粤财信托有限公司,招商基金管理有限公司,百瑞信托有限责任公司,鑫元基金管理有限公司,易方达基金管理有限公司,景顺长城基金管理有限公司,重庆国际信托股份有限公司</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产品管理人</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南银理财有限责任公司</w:t>
            </w:r>
          </w:p>
        </w:tc>
      </w:tr>
      <w:tr w:rsidR="003041BA">
        <w:tc>
          <w:tcPr>
            <w:tcW w:w="2811"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产品托管人</w:t>
            </w:r>
          </w:p>
        </w:tc>
        <w:tc>
          <w:tcPr>
            <w:tcW w:w="6387" w:type="dxa"/>
            <w:vAlign w:val="center"/>
          </w:tcPr>
          <w:p w:rsidR="003041BA" w:rsidRDefault="003F38EF" w:rsidP="00BD0A6A">
            <w:pPr>
              <w:spacing w:before="240" w:afterLines="50" w:line="360" w:lineRule="auto"/>
              <w:rPr>
                <w:rFonts w:ascii="方正仿宋简体" w:eastAsia="方正仿宋简体"/>
                <w:sz w:val="24"/>
                <w:szCs w:val="24"/>
              </w:rPr>
            </w:pPr>
            <w:r>
              <w:rPr>
                <w:rFonts w:ascii="方正仿宋简体" w:eastAsia="方正仿宋简体" w:hint="eastAsia"/>
                <w:sz w:val="24"/>
                <w:szCs w:val="24"/>
              </w:rPr>
              <w:t>南京银行股份有限公司</w:t>
            </w:r>
          </w:p>
        </w:tc>
      </w:tr>
    </w:tbl>
    <w:p w:rsidR="003041BA" w:rsidRDefault="003041BA">
      <w:pPr>
        <w:spacing w:before="240"/>
        <w:rPr>
          <w:rFonts w:ascii="方正仿宋简体" w:eastAsia="方正仿宋简体" w:hAnsi="宋体" w:cs="宋体"/>
          <w:kern w:val="0"/>
          <w:sz w:val="24"/>
          <w:szCs w:val="24"/>
        </w:rPr>
      </w:pPr>
    </w:p>
    <w:p w:rsidR="003041BA" w:rsidRDefault="003041BA">
      <w:pPr>
        <w:spacing w:before="240"/>
        <w:rPr>
          <w:rFonts w:ascii="方正仿宋简体" w:eastAsia="方正仿宋简体" w:hAnsi="Calibri"/>
          <w:sz w:val="24"/>
          <w:szCs w:val="24"/>
        </w:rPr>
      </w:pPr>
    </w:p>
    <w:p w:rsidR="003041BA" w:rsidRDefault="003F38EF">
      <w:pPr>
        <w:spacing w:before="240"/>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主要财务指标和产品</w:t>
      </w:r>
      <w:r>
        <w:rPr>
          <w:rFonts w:ascii="方正仿宋简体" w:eastAsia="方正仿宋简体" w:hint="eastAsia"/>
          <w:b/>
          <w:sz w:val="24"/>
          <w:szCs w:val="24"/>
        </w:rPr>
        <w:t>业绩比较基准</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3041BA" w:rsidRDefault="003F38EF">
      <w:pPr>
        <w:spacing w:before="240"/>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W w:w="9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122"/>
        <w:gridCol w:w="2551"/>
        <w:gridCol w:w="1418"/>
        <w:gridCol w:w="1275"/>
        <w:gridCol w:w="1956"/>
      </w:tblGrid>
      <w:tr w:rsidR="003041BA">
        <w:tc>
          <w:tcPr>
            <w:tcW w:w="2122" w:type="dxa"/>
            <w:vMerge w:val="restart"/>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00" w:type="dxa"/>
            <w:gridSpan w:val="4"/>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报告期（</w:t>
            </w:r>
            <w:r>
              <w:rPr>
                <w:rFonts w:ascii="方正仿宋简体" w:eastAsia="方正仿宋简体" w:hint="eastAsia"/>
                <w:sz w:val="24"/>
                <w:szCs w:val="24"/>
              </w:rPr>
              <w:t>2024年01月01日 - 2024年12月31日</w:t>
            </w:r>
            <w:r>
              <w:rPr>
                <w:rFonts w:ascii="方正仿宋简体" w:eastAsia="方正仿宋简体" w:hint="eastAsia"/>
                <w:sz w:val="24"/>
                <w:szCs w:val="24"/>
              </w:rPr>
              <w:t>）</w:t>
            </w:r>
          </w:p>
        </w:tc>
      </w:tr>
      <w:tr w:rsidR="003041BA">
        <w:tc>
          <w:tcPr>
            <w:tcW w:w="2122" w:type="dxa"/>
            <w:vMerge/>
            <w:vAlign w:val="center"/>
          </w:tcPr>
          <w:p w:rsidR="003041BA" w:rsidRDefault="003041BA" w:rsidP="00BD0A6A">
            <w:pPr>
              <w:spacing w:before="240" w:afterLines="50" w:line="360" w:lineRule="auto"/>
              <w:jc w:val="center"/>
              <w:rPr>
                <w:rFonts w:ascii="方正仿宋简体" w:eastAsia="方正仿宋简体"/>
                <w:sz w:val="24"/>
                <w:szCs w:val="24"/>
              </w:rPr>
            </w:pPr>
          </w:p>
        </w:tc>
        <w:tc>
          <w:tcPr>
            <w:tcW w:w="2551"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1.</w:t>
            </w:r>
            <w:r>
              <w:rPr>
                <w:rFonts w:ascii="方正仿宋简体" w:eastAsia="方正仿宋简体" w:hint="eastAsia"/>
                <w:sz w:val="24"/>
                <w:szCs w:val="24"/>
              </w:rPr>
              <w:t>期末产品最后一个市场交易日资产净值</w:t>
            </w:r>
          </w:p>
        </w:tc>
        <w:tc>
          <w:tcPr>
            <w:tcW w:w="1418"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2.</w:t>
            </w:r>
            <w:r>
              <w:rPr>
                <w:rFonts w:ascii="方正仿宋简体" w:eastAsia="方正仿宋简体" w:hint="eastAsia"/>
                <w:sz w:val="24"/>
                <w:szCs w:val="24"/>
              </w:rPr>
              <w:t>期末产品最后一个市场交易日份额净值</w:t>
            </w:r>
          </w:p>
        </w:tc>
        <w:tc>
          <w:tcPr>
            <w:tcW w:w="1275"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3.</w:t>
            </w:r>
            <w:r>
              <w:rPr>
                <w:rFonts w:ascii="方正仿宋简体" w:eastAsia="方正仿宋简体" w:hint="eastAsia"/>
                <w:sz w:val="24"/>
                <w:szCs w:val="24"/>
              </w:rPr>
              <w:t>期末产品最后一个市场交易日份额累计净值</w:t>
            </w:r>
          </w:p>
        </w:tc>
        <w:tc>
          <w:tcPr>
            <w:tcW w:w="1956"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4.</w:t>
            </w:r>
            <w:r>
              <w:rPr>
                <w:rFonts w:ascii="方正仿宋简体" w:eastAsia="方正仿宋简体" w:hint="eastAsia"/>
                <w:sz w:val="24"/>
                <w:szCs w:val="24"/>
              </w:rPr>
              <w:t>其它费用</w:t>
            </w:r>
          </w:p>
        </w:tc>
      </w:tr>
      <w:tr>
        <w:trPr xsi:nil="true"/>
        <w:tc>
          <w:tcPr>
            <w:tcW w:w="2122"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Z30004</w:t>
            </w:r>
          </w:p>
        </w:tc>
        <w:tc>
          <w:tcPr>
            <w:tcW w:w="2551"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3,873,225,254.05</w:t>
            </w:r>
          </w:p>
        </w:tc>
        <w:tc>
          <w:tcPr>
            <w:tcW w:w="1418"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1.0103</w:t>
            </w:r>
          </w:p>
        </w:tc>
        <w:tc>
          <w:tcPr>
            <w:tcW w:w="1275"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1.2297</w:t>
            </w:r>
          </w:p>
        </w:tc>
        <w:tc>
          <w:tcPr>
            <w:tcW w:w="1956"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64,693.25</w:t>
            </w:r>
          </w:p>
        </w:tc>
      </w:tr>
    </w:tbl>
    <w:p w:rsidR="003041BA" w:rsidRDefault="003041BA">
      <w:pPr>
        <w:spacing w:before="240"/>
        <w:jc w:val="right"/>
        <w:rPr>
          <w:rFonts w:ascii="方正仿宋简体" w:eastAsia="方正仿宋简体" w:cs="宋体"/>
          <w:kern w:val="0"/>
          <w:sz w:val="24"/>
          <w:szCs w:val="24"/>
        </w:rPr>
      </w:pPr>
    </w:p>
    <w:p w:rsidR="003041BA" w:rsidRDefault="003F38EF">
      <w:pPr>
        <w:spacing w:before="240"/>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注：产品净值可能存在未扣除管理人及投资合作机构业绩报酬、赎回费等费用（如有）的情况，实际收益以兑付为准。</w:t>
      </w:r>
    </w:p>
    <w:p w:rsidR="003041BA" w:rsidRDefault="003041BA">
      <w:pPr>
        <w:spacing w:before="240"/>
        <w:rPr>
          <w:rFonts w:ascii="方正仿宋简体" w:eastAsia="方正仿宋简体" w:hAnsi="宋体" w:cs="宋体"/>
          <w:kern w:val="0"/>
          <w:sz w:val="24"/>
          <w:szCs w:val="24"/>
        </w:rPr>
      </w:pP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2.2 </w:t>
      </w:r>
      <w:r>
        <w:rPr>
          <w:rFonts w:ascii="方正仿宋简体" w:eastAsia="方正仿宋简体" w:hint="eastAsia"/>
          <w:b/>
          <w:sz w:val="24"/>
          <w:szCs w:val="24"/>
        </w:rPr>
        <w:t>产品业绩比较基准</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2.2.1 </w:t>
      </w:r>
      <w:r>
        <w:rPr>
          <w:rFonts w:ascii="方正仿宋简体" w:eastAsia="方正仿宋简体" w:hint="eastAsia"/>
          <w:b/>
          <w:sz w:val="24"/>
          <w:szCs w:val="24"/>
        </w:rPr>
        <w:t>本报告期产品业绩比较基准</w:t>
      </w:r>
    </w:p>
    <w:tbl>
      <w:tblPr>
        <w:tblW w:w="9243"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3856"/>
        <w:gridCol w:w="2694"/>
        <w:gridCol w:w="2693"/>
      </w:tblGrid>
      <w:tr w:rsidR="003041BA">
        <w:tc>
          <w:tcPr>
            <w:tcW w:w="3856"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阶段</w:t>
            </w:r>
          </w:p>
        </w:tc>
        <w:tc>
          <w:tcPr>
            <w:tcW w:w="2694"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内部销售代码</w:t>
            </w:r>
          </w:p>
        </w:tc>
        <w:tc>
          <w:tcPr>
            <w:tcW w:w="2693" w:type="dxa"/>
            <w:vAlign w:val="center"/>
          </w:tcPr>
          <w:p w:rsidR="003041BA" w:rsidRDefault="003F38EF" w:rsidP="00BD0A6A">
            <w:pPr>
              <w:spacing w:before="240" w:afterLines="50" w:line="360" w:lineRule="auto"/>
              <w:jc w:val="center"/>
              <w:rPr>
                <w:rFonts w:ascii="方正仿宋简体" w:eastAsia="方正仿宋简体"/>
                <w:sz w:val="24"/>
                <w:szCs w:val="24"/>
              </w:rPr>
            </w:pPr>
            <w:r>
              <w:rPr>
                <w:rFonts w:ascii="方正仿宋简体" w:eastAsia="方正仿宋简体" w:hint="eastAsia"/>
                <w:sz w:val="24"/>
                <w:szCs w:val="24"/>
              </w:rPr>
              <w:t>业绩比较基准</w:t>
            </w:r>
          </w:p>
        </w:tc>
      </w:tr>
      <w:tr>
        <w:trPr xsi:nil="true"/>
        <w:tc>
          <w:tcPr>
            <w:tcW w:w="3856"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2024年01月01日 - 2024年09月11日</w:t>
            </w:r>
          </w:p>
        </w:tc>
        <w:tc>
          <w:tcPr>
            <w:tcW w:w="2694"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Z30004</w:t>
            </w:r>
          </w:p>
        </w:tc>
        <w:tc>
          <w:tcPr>
            <w:tcW w:w="2693"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4.21%</w:t>
            </w:r>
          </w:p>
        </w:tc>
      </w:tr>
      <w:tr>
        <w:trPr xsi:nil="true"/>
        <w:tc>
          <w:tcPr>
            <w:tcW w:w="3856"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2024年09月12日 - 2024年12月31日</w:t>
            </w:r>
          </w:p>
        </w:tc>
        <w:tc>
          <w:tcPr>
            <w:tcW w:w="2694"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Z30004</w:t>
            </w:r>
          </w:p>
        </w:tc>
        <w:tc>
          <w:tcPr>
            <w:tcW w:w="2693" w:type="dxa"/>
            <w:vAlign w:val="center"/>
            <w:vAlign w:val="center"/>
          </w:tcPr>
          <w:p>
            <w:pPr>
              <w:spacing w:before="240" w:afterLines="5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1.47%</w:t>
            </w:r>
          </w:p>
        </w:tc>
      </w:tr>
    </w:tbl>
    <w:p w:rsidR="003041BA" w:rsidRDefault="003041BA">
      <w:pPr>
        <w:spacing w:before="240"/>
        <w:rPr>
          <w:rFonts w:ascii="方正仿宋简体" w:eastAsia="方正仿宋简体"/>
          <w:sz w:val="24"/>
          <w:szCs w:val="24"/>
        </w:rPr>
      </w:pPr>
    </w:p>
    <w:p w:rsidR="003041BA" w:rsidRDefault="003041BA">
      <w:pPr>
        <w:spacing w:before="240"/>
        <w:rPr>
          <w:rFonts w:ascii="方正仿宋简体" w:eastAsia="方正仿宋简体"/>
          <w:sz w:val="24"/>
          <w:szCs w:val="24"/>
        </w:rPr>
      </w:pPr>
    </w:p>
    <w:p w:rsidR="003041BA" w:rsidRDefault="003041BA">
      <w:pPr>
        <w:spacing w:before="240"/>
        <w:rPr>
          <w:rFonts w:ascii="方正仿宋简体" w:eastAsia="方正仿宋简体" w:hAnsi="宋体" w:cs="宋体"/>
          <w:kern w:val="0"/>
          <w:sz w:val="24"/>
          <w:szCs w:val="24"/>
        </w:rPr>
      </w:pPr>
    </w:p>
    <w:p w:rsidR="003041BA" w:rsidRDefault="003F38EF">
      <w:pPr>
        <w:spacing w:before="240"/>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3041BA" w:rsidRDefault="003F38EF">
      <w:pPr>
        <w:spacing w:before="240"/>
        <w:rPr>
          <w:rFonts w:ascii="方正仿宋简体" w:eastAsia="方正仿宋简体"/>
          <w:sz w:val="24"/>
          <w:szCs w:val="24"/>
        </w:rPr>
      </w:pPr>
      <w:r>
        <w:rPr>
          <w:rFonts w:ascii="方正仿宋简体" w:eastAsia="方正仿宋简体" w:hint="eastAsia"/>
          <w:sz w:val="24"/>
          <w:szCs w:val="24"/>
        </w:rPr>
        <w:t>  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国庆后,随着权益市场的风险偏好的抬升，利率呈现震荡状态，信用债继续延续调整的态势，进入11月后，市场开始预期降准降息，市场开始抢跑，10年国债利率最低下行至1.7%附近，对降息预期定价较为充分，信用利差和期限利差被动走阔。</w:t>
        <w:br w:type="textWrapping" w:clear="all"/>
      </w:r>
      <w:r>
        <w:rPr>
          <w:rFonts w:ascii="方正仿宋简体" w:eastAsia="方正仿宋简体" w:hint="eastAsia"/>
          <w:sz w:val="24"/>
          <w:szCs w:val="24"/>
        </w:rPr>
        <w:t>  展望2025年1季度，对债券市场并不悲观，从货币的角度来看，当前的经济基本面偏弱的格局并不支持货币政策出现转向，进一步降准降息值得期待。</w:t>
        <w:br w:type="textWrapping" w:clear="all"/>
      </w:r>
      <w:r>
        <w:rPr>
          <w:rFonts w:ascii="方正仿宋简体" w:eastAsia="方正仿宋简体" w:hint="eastAsia"/>
          <w:sz w:val="24"/>
          <w:szCs w:val="24"/>
        </w:rPr>
        <w:t>  本产品为中长期、定期开放式产品，在运作期内操作上主配置2-3年信用债，积极采用杠杆、久期等工具获取收益增厚。后续我们将继续研判市场，积极把握市场机会，将以中性策略应对，对于合意的信用债资产保持积极配置，保持适度杠杆以增厚票息收益，控制久期，为客户提供稳定的收益回报。</w:t>
      </w:r>
      <w:r>
        <w:rPr>
          <w:rFonts w:ascii="方正仿宋简体" w:eastAsia="方正仿宋简体" w:hint="eastAsia"/>
          <w:sz w:val="24"/>
          <w:szCs w:val="24"/>
        </w:rPr>
        <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3041BA" w:rsidRDefault="003F38EF">
      <w:pPr>
        <w:spacing w:before="240"/>
        <w:rPr>
          <w:rFonts w:ascii="方正仿宋简体" w:eastAsia="方正仿宋简体"/>
          <w:sz w:val="24"/>
          <w:szCs w:val="24"/>
        </w:rPr>
      </w:pPr>
      <w:r>
        <w:rPr>
          <w:rFonts w:ascii="方正仿宋简体" w:eastAsia="方正仿宋简体" w:hint="eastAsia"/>
          <w:sz w:val="24"/>
          <w:szCs w:val="24"/>
        </w:rPr>
        <w:t>  本产品持仓中维持合理比例高流动性资产，杠杆处于合理水平，流动性状况较好。</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3041BA" w:rsidRDefault="003F38EF">
      <w:pPr>
        <w:spacing w:before="240"/>
        <w:ind w:firstLineChars="200" w:firstLine="480"/>
        <w:rPr>
          <w:rFonts w:ascii="方正仿宋简体" w:eastAsia="方正仿宋简体"/>
          <w:sz w:val="24"/>
          <w:szCs w:val="24"/>
        </w:rPr>
      </w:pPr>
      <w:r>
        <w:rPr>
          <w:rFonts w:ascii="方正仿宋简体" w:eastAsia="方正仿宋简体" w:hint="eastAsia"/>
          <w:sz w:val="24"/>
          <w:szCs w:val="24"/>
        </w:rPr>
        <w:t>截至报告期末</w:t>
      </w:r>
      <w:r>
        <w:rPr>
          <w:rFonts w:ascii="方正仿宋简体" w:eastAsia="方正仿宋简体" w:hint="eastAsia"/>
          <w:sz w:val="24"/>
          <w:szCs w:val="24"/>
        </w:rPr>
        <w:t>,</w:t>
      </w:r>
      <w:r>
        <w:rPr>
          <w:rFonts w:ascii="方正仿宋简体" w:eastAsia="方正仿宋简体" w:hint="eastAsia"/>
          <w:sz w:val="24"/>
          <w:szCs w:val="24"/>
        </w:rPr>
        <w:t>本产品</w:t>
      </w:r>
      <w:r>
        <w:rPr>
          <w:rFonts w:ascii="方正仿宋简体" w:eastAsia="方正仿宋简体" w:hint="eastAsia"/>
          <w:sz w:val="24"/>
          <w:szCs w:val="24"/>
        </w:rPr>
        <w:t>份额净值为1.0103</w:t>
      </w:r>
      <w:r>
        <w:rPr>
          <w:rFonts w:ascii="方正仿宋简体" w:eastAsia="方正仿宋简体" w:hint="eastAsia"/>
          <w:sz w:val="24"/>
          <w:szCs w:val="24"/>
        </w:rPr>
        <w:t>元。</w:t>
      </w:r>
    </w:p>
    <w:p w:rsidR="003041BA" w:rsidRDefault="003041BA">
      <w:pPr>
        <w:spacing w:before="240"/>
        <w:rPr>
          <w:rFonts w:ascii="方正仿宋简体" w:eastAsia="方正仿宋简体" w:hAnsi="宋体" w:cs="宋体"/>
          <w:kern w:val="0"/>
          <w:sz w:val="24"/>
          <w:szCs w:val="24"/>
        </w:rPr>
      </w:pPr>
    </w:p>
    <w:p w:rsidR="003041BA" w:rsidRDefault="003F38EF">
      <w:pPr>
        <w:spacing w:before="240"/>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3041BA" w:rsidRDefault="003041BA">
      <w:pPr>
        <w:spacing w:before="240"/>
        <w:rPr>
          <w:rFonts w:ascii="方正仿宋简体" w:eastAsia="方正仿宋简体" w:hAnsi="Calibri"/>
          <w:sz w:val="24"/>
          <w:szCs w:val="24"/>
        </w:rPr>
      </w:pP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3041BA" w:rsidRDefault="003F38EF">
      <w:pPr>
        <w:spacing w:before="240"/>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3041BA" w:rsidRDefault="003F38EF">
      <w:pPr>
        <w:spacing w:before="240"/>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4.3 </w:t>
      </w:r>
      <w:r w:rsidR="00BD0A6A">
        <w:rPr>
          <w:rFonts w:ascii="方正仿宋简体" w:eastAsia="方正仿宋简体" w:hint="eastAsia"/>
          <w:b/>
          <w:sz w:val="24"/>
          <w:szCs w:val="24"/>
        </w:rPr>
        <w:t>托管人对本报告期内</w:t>
      </w:r>
      <w:r>
        <w:rPr>
          <w:rFonts w:ascii="方正仿宋简体" w:eastAsia="方正仿宋简体" w:hint="eastAsia"/>
          <w:b/>
          <w:sz w:val="24"/>
          <w:szCs w:val="24"/>
        </w:rPr>
        <w:t>报告中</w:t>
      </w:r>
      <w:r>
        <w:rPr>
          <w:rFonts w:ascii="方正仿宋简体" w:eastAsia="方正仿宋简体" w:hint="eastAsia"/>
          <w:b/>
          <w:sz w:val="24"/>
          <w:szCs w:val="24"/>
        </w:rPr>
        <w:t>财务信息等内容的真实、准确和完整发表意见</w:t>
      </w:r>
    </w:p>
    <w:p w:rsidR="003041BA" w:rsidRDefault="003F38EF">
      <w:pPr>
        <w:spacing w:before="240"/>
        <w:rPr>
          <w:rFonts w:ascii="方正仿宋简体" w:eastAsia="方正仿宋简体"/>
          <w:sz w:val="24"/>
          <w:szCs w:val="24"/>
        </w:rPr>
      </w:pPr>
      <w:r>
        <w:rPr>
          <w:rFonts w:ascii="方正仿宋简体" w:eastAsia="方正仿宋简体"/>
          <w:sz w:val="24"/>
          <w:szCs w:val="24"/>
        </w:rPr>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3041BA" w:rsidRDefault="003F38EF">
      <w:pPr>
        <w:spacing w:before="240"/>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3041BA" w:rsidRDefault="003041BA">
      <w:pPr>
        <w:spacing w:before="240"/>
        <w:rPr>
          <w:rFonts w:ascii="方正仿宋简体" w:eastAsia="方正仿宋简体" w:hAnsi="宋体" w:cs="宋体"/>
          <w:kern w:val="0"/>
          <w:sz w:val="24"/>
          <w:szCs w:val="24"/>
        </w:rPr>
      </w:pP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38"/>
        <w:gridCol w:w="1843"/>
        <w:gridCol w:w="2976"/>
        <w:gridCol w:w="3261"/>
      </w:tblGrid>
      <w:tr w:rsidR="003041BA">
        <w:tc>
          <w:tcPr>
            <w:tcW w:w="738"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lastRenderedPageBreak/>
              <w:t>序号</w:t>
            </w:r>
          </w:p>
        </w:tc>
        <w:tc>
          <w:tcPr>
            <w:tcW w:w="1843"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29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6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3041BA">
        <w:tc>
          <w:tcPr>
            <w:tcW w:w="738"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43"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29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97.09</w:t>
            </w:r>
            <w:r>
              <w:rPr>
                <w:rFonts w:ascii="方正仿宋简体" w:eastAsia="方正仿宋简体" w:hAnsiTheme="minorEastAsia"/>
                <w:sz w:val="24"/>
                <w:szCs w:val="24"/>
              </w:rPr>
              <w:t>%</w:t>
            </w:r>
          </w:p>
        </w:tc>
        <w:tc>
          <w:tcPr>
            <w:tcW w:w="326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96.05</w:t>
            </w:r>
            <w:r>
              <w:rPr>
                <w:rFonts w:ascii="方正仿宋简体" w:eastAsia="方正仿宋简体" w:hAnsiTheme="minorEastAsia"/>
                <w:sz w:val="24"/>
                <w:szCs w:val="24"/>
              </w:rPr>
              <w:t>%</w:t>
            </w:r>
          </w:p>
        </w:tc>
      </w:tr>
      <w:tr w:rsidR="003041BA">
        <w:tc>
          <w:tcPr>
            <w:tcW w:w="738"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43"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29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2.91</w:t>
            </w:r>
            <w:r>
              <w:rPr>
                <w:rFonts w:ascii="方正仿宋简体" w:eastAsia="方正仿宋简体" w:hAnsiTheme="minorEastAsia"/>
                <w:sz w:val="24"/>
                <w:szCs w:val="24"/>
              </w:rPr>
              <w:t>%</w:t>
            </w:r>
          </w:p>
        </w:tc>
        <w:tc>
          <w:tcPr>
            <w:tcW w:w="326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3.95</w:t>
            </w:r>
            <w:r>
              <w:rPr>
                <w:rFonts w:ascii="方正仿宋简体" w:eastAsia="方正仿宋简体" w:hAnsiTheme="minorEastAsia"/>
                <w:sz w:val="24"/>
                <w:szCs w:val="24"/>
              </w:rPr>
              <w:t>%</w:t>
            </w:r>
          </w:p>
        </w:tc>
      </w:tr>
      <w:tr w:rsidR="003041BA">
        <w:tc>
          <w:tcPr>
            <w:tcW w:w="738"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43"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29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6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3041BA">
        <w:tc>
          <w:tcPr>
            <w:tcW w:w="738"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43" w:type="dxa"/>
            <w:vAlign w:val="bottom"/>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29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6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3041BA">
        <w:tc>
          <w:tcPr>
            <w:tcW w:w="738" w:type="dxa"/>
            <w:vAlign w:val="bottom"/>
          </w:tcPr>
          <w:p w:rsidR="003041BA" w:rsidRDefault="003F38EF">
            <w:pPr>
              <w:spacing w:before="24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43" w:type="dxa"/>
            <w:vAlign w:val="center"/>
          </w:tcPr>
          <w:p w:rsidR="003041BA" w:rsidRDefault="003F38EF">
            <w:pPr>
              <w:spacing w:before="24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2976" w:type="dxa"/>
            <w:vAlign w:val="center"/>
          </w:tcPr>
          <w:p w:rsidR="003041BA" w:rsidRDefault="003F38EF">
            <w:pPr>
              <w:spacing w:before="24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61" w:type="dxa"/>
            <w:vAlign w:val="center"/>
          </w:tcPr>
          <w:p w:rsidR="003041BA" w:rsidRDefault="003F38EF">
            <w:pPr>
              <w:spacing w:before="24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3041BA" w:rsidRDefault="003041BA">
      <w:pPr>
        <w:spacing w:before="240"/>
        <w:rPr>
          <w:rFonts w:ascii="方正仿宋简体" w:eastAsia="方正仿宋简体" w:cs="宋体"/>
          <w:kern w:val="0"/>
          <w:sz w:val="24"/>
          <w:szCs w:val="24"/>
        </w:rPr>
      </w:pPr>
    </w:p>
    <w:p w:rsidR="003041BA" w:rsidRDefault="003F38EF">
      <w:pPr>
        <w:spacing w:before="240"/>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w:t>
      </w:r>
      <w:r>
        <w:rPr>
          <w:rFonts w:ascii="方正仿宋简体" w:eastAsia="方正仿宋简体"/>
          <w:b/>
          <w:sz w:val="24"/>
          <w:szCs w:val="24"/>
        </w:rPr>
        <w:t>产品</w:t>
      </w:r>
      <w:r>
        <w:rPr>
          <w:rFonts w:ascii="方正仿宋简体" w:eastAsia="方正仿宋简体" w:hint="eastAsia"/>
          <w:b/>
          <w:sz w:val="24"/>
          <w:szCs w:val="24"/>
        </w:rPr>
        <w:t>资产净值比例大小排序的前十名资产投资明细</w:t>
      </w:r>
    </w:p>
    <w:tbl>
      <w:tblPr>
        <w:tblW w:w="8800"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2"/>
        <w:gridCol w:w="1728"/>
        <w:gridCol w:w="2690"/>
        <w:gridCol w:w="2035"/>
        <w:gridCol w:w="1765"/>
      </w:tblGrid>
      <w:tr w:rsidR="003041BA">
        <w:trPr>
          <w:trHeight w:val="870"/>
        </w:trPr>
        <w:tc>
          <w:tcPr>
            <w:tcW w:w="582"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28"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690"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35"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65"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XTDKX202409030001</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粤财信托·瑞兴171号集合资金信托计划（第2期）</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271,010,655.90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7.00</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ZJQTT202306200001</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鑫元基金-鑫安利得63号集合资产管理计划</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248,869,353.59</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6.43</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XTDKX202410220004</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云南信托-清泉151号集合资金信托计划</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216,010,500.00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5.58</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XTDKX202409190003</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华鑫信托·惠盈格昱15号集合资金信托计划</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200,000,000.00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5.16</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XTDKX202410220002</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粤财信托·瑞兴167号集合资金信托计划（第2期）</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182,731,720.08</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4.72</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XTDKX202410100002</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中信信托·兴邦59号固定收益类信托计划（第2期）</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181,743,564.29</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4.69</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XTDKX202410230002</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中粮信托·南盈11号集合资金信托计划（第2期）</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165,180,626.98</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4.26</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XTDKX202410290025</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重庆信托扬州发展2号集合资金信托计划第2期</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136,556,758.16</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3.53</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XTDKX202410220021</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粤财信托·瑞兴94号集合资金信托计划（第1期）</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101,406,064.44</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2.62</w:t>
            </w:r>
          </w:p>
        </w:tc>
      </w:tr>
      <w:tr>
        <w:trPr>
          <w:trHeight w:val="300"/>
        </w:trPr>
        <w:tc>
          <w:tcPr>
            <w:tcW w:w="582"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728"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XTDKX202410290023</w:t>
            </w:r>
          </w:p>
        </w:tc>
        <w:tc>
          <w:tcPr>
            <w:tcW w:w="2690"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粤财信托·瑞兴172号集合资金信托计划（第2期）</w:t>
            </w:r>
          </w:p>
        </w:tc>
        <w:tc>
          <w:tcPr>
            <w:tcW w:w="203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100,428,050.00</w:t>
            </w:r>
          </w:p>
        </w:tc>
        <w:tc>
          <w:tcPr>
            <w:tcW w:w="176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2.59</w:t>
            </w:r>
          </w:p>
        </w:tc>
      </w:tr>
    </w:tbl>
    <w:p w:rsidR="003041BA" w:rsidRDefault="003041BA">
      <w:pPr>
        <w:spacing w:before="240"/>
        <w:rPr>
          <w:rFonts w:ascii="方正仿宋简体" w:eastAsia="方正仿宋简体" w:hAnsi="宋体" w:cs="宋体"/>
          <w:sz w:val="24"/>
          <w:szCs w:val="24"/>
          <w:shd w:val="clear" w:color="auto" w:fill="FFFFFF"/>
        </w:rPr>
      </w:pPr>
    </w:p>
    <w:p w:rsidR="003041BA" w:rsidRDefault="003F38EF">
      <w:pPr>
        <w:spacing w:before="240"/>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lastRenderedPageBreak/>
        <w:t>5.3</w:t>
      </w:r>
      <w:r>
        <w:rPr>
          <w:rFonts w:ascii="方正仿宋简体" w:eastAsia="方正仿宋简体" w:hAnsi="宋体" w:cs="宋体" w:hint="eastAsia"/>
          <w:b/>
          <w:sz w:val="24"/>
          <w:szCs w:val="24"/>
          <w:shd w:val="clear" w:color="auto" w:fill="FFFFFF"/>
        </w:rPr>
        <w:t>报告期末非标准化债权类资产明细</w:t>
      </w:r>
    </w:p>
    <w:tbl>
      <w:tblPr>
        <w:tblW w:w="8931"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9"/>
        <w:gridCol w:w="1276"/>
        <w:gridCol w:w="1701"/>
        <w:gridCol w:w="1417"/>
        <w:gridCol w:w="1701"/>
        <w:gridCol w:w="1276"/>
        <w:gridCol w:w="851"/>
      </w:tblGrid>
      <w:tr w:rsidR="003041BA">
        <w:tc>
          <w:tcPr>
            <w:tcW w:w="709"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70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7"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70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5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xsi:nil="true"/>
        <w:tc>
          <w:tcPr>
            <w:tcW w:w="709"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浙江省新昌县投资发展集团有限公司</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中粮信托·南盈11号集合资金信托计划（第2期）</w:t>
            </w:r>
          </w:p>
        </w:tc>
        <w:tc>
          <w:tcPr>
            <w:tcW w:w="141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265</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5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xsi:nil="true"/>
        <w:tc>
          <w:tcPr>
            <w:tcW w:w="709"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常州新运城市发展集团有限公司</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粤财信托·瑞兴171号集合资金信托计划（第2期）</w:t>
            </w:r>
          </w:p>
        </w:tc>
        <w:tc>
          <w:tcPr>
            <w:tcW w:w="141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263</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5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xsi:nil="true"/>
        <w:tc>
          <w:tcPr>
            <w:tcW w:w="709"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云瀚信息科技有限公司</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华鑫信托·惠盈格昱15号集合资金信托计划</w:t>
            </w:r>
          </w:p>
        </w:tc>
        <w:tc>
          <w:tcPr>
            <w:tcW w:w="141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263</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5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xsi:nil="true"/>
        <w:tc>
          <w:tcPr>
            <w:tcW w:w="709"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泰州国控投资集团有限公司</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中信信托·兴邦71号泰州固定收益类信托计划（第3期）</w:t>
            </w:r>
          </w:p>
        </w:tc>
        <w:tc>
          <w:tcPr>
            <w:tcW w:w="141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266</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5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xsi:nil="true"/>
        <w:tc>
          <w:tcPr>
            <w:tcW w:w="709"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扬州高发产业投资发展集团有限公司</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重庆信托扬州发展2号集合资金信托计划第2期</w:t>
            </w:r>
          </w:p>
        </w:tc>
        <w:tc>
          <w:tcPr>
            <w:tcW w:w="141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263</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5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xsi:nil="true"/>
        <w:tc>
          <w:tcPr>
            <w:tcW w:w="709"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深圳智领星辰科技有限公司</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云南信托-清泉151号集合资金信托计划</w:t>
            </w:r>
          </w:p>
        </w:tc>
        <w:tc>
          <w:tcPr>
            <w:tcW w:w="141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266</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5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xsi:nil="true"/>
        <w:tc>
          <w:tcPr>
            <w:tcW w:w="709"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仪征市扬子文旅控股集团有限公司</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粤财信托·瑞兴172号集合资金信托计划（第2期）</w:t>
            </w:r>
          </w:p>
        </w:tc>
        <w:tc>
          <w:tcPr>
            <w:tcW w:w="141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263</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5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xsi:nil="true"/>
        <w:tc>
          <w:tcPr>
            <w:tcW w:w="709"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邳州市产业投资控股集团有限公司</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粤财信托·瑞兴164号集合资金信托计划（第4期）</w:t>
            </w:r>
          </w:p>
        </w:tc>
        <w:tc>
          <w:tcPr>
            <w:tcW w:w="141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266</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5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xsi:nil="true"/>
        <w:tc>
          <w:tcPr>
            <w:tcW w:w="709"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江苏龙城国有控股集团有限公司</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粤财信托·瑞兴94号集合资金信托计划（第1期）</w:t>
            </w:r>
          </w:p>
        </w:tc>
        <w:tc>
          <w:tcPr>
            <w:tcW w:w="141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266</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5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xsi:nil="true"/>
        <w:tc>
          <w:tcPr>
            <w:tcW w:w="709"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常州滨江产城建设发展有限公司</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粤财信托·瑞兴167号集合资金信托计划（第2期）</w:t>
            </w:r>
          </w:p>
        </w:tc>
        <w:tc>
          <w:tcPr>
            <w:tcW w:w="141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266</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5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xsi:nil="true"/>
        <w:tc>
          <w:tcPr>
            <w:tcW w:w="709"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淮安市城市发展投资控股集团有限公司</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中信信托·兴邦59号固定收益类信托计划（第2期）</w:t>
            </w:r>
          </w:p>
        </w:tc>
        <w:tc>
          <w:tcPr>
            <w:tcW w:w="141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262</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5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xsi:nil="true"/>
        <w:tc>
          <w:tcPr>
            <w:tcW w:w="709"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泰州市城市建设投资控股有限公司</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粤财信托·瑞兴158号集合资金信托计划（第2期）</w:t>
            </w:r>
          </w:p>
        </w:tc>
        <w:tc>
          <w:tcPr>
            <w:tcW w:w="141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266</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5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xsi:nil="true"/>
        <w:tc>
          <w:tcPr>
            <w:tcW w:w="709"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泰州市华融城镇建设有限公司</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百瑞恒益1598号集合资金信托计划（鹏南4号）第1期</w:t>
            </w:r>
          </w:p>
        </w:tc>
        <w:tc>
          <w:tcPr>
            <w:tcW w:w="141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265</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5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xsi:nil="true"/>
        <w:tc>
          <w:tcPr>
            <w:tcW w:w="709"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盐城盛州投资控股集团有限公司</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百瑞恒益1596号集合资金信托计划（南瑞3号）第1期</w:t>
            </w:r>
          </w:p>
        </w:tc>
        <w:tc>
          <w:tcPr>
            <w:tcW w:w="141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265</w:t>
            </w:r>
          </w:p>
        </w:tc>
        <w:tc>
          <w:tcPr>
            <w:tcW w:w="170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5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3041BA" w:rsidRDefault="003041BA">
      <w:pPr>
        <w:spacing w:before="240"/>
        <w:rPr>
          <w:rFonts w:ascii="方正仿宋简体" w:eastAsia="方正仿宋简体" w:hAnsi="宋体" w:cs="宋体"/>
          <w:kern w:val="0"/>
          <w:sz w:val="24"/>
          <w:szCs w:val="24"/>
        </w:rPr>
      </w:pPr>
    </w:p>
    <w:p w:rsidR="003041BA" w:rsidRDefault="003F38EF">
      <w:pPr>
        <w:spacing w:before="240"/>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W w:w="913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91"/>
        <w:gridCol w:w="2036"/>
        <w:gridCol w:w="2037"/>
        <w:gridCol w:w="2037"/>
        <w:gridCol w:w="2037"/>
      </w:tblGrid>
      <w:tr w:rsidR="003041BA">
        <w:trPr>
          <w:trHeight w:val="705"/>
        </w:trPr>
        <w:tc>
          <w:tcPr>
            <w:tcW w:w="991"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2036"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037"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2037"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2037" w:type="dxa"/>
            <w:vAlign w:val="center"/>
          </w:tcPr>
          <w:p w:rsidR="003041BA" w:rsidRDefault="003F38EF" w:rsidP="00BD0A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trHeight w:val="364"/>
        </w:trPr>
        <w:tc>
          <w:tcPr>
            <w:tcW w:w="991"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2036"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03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0120040000000312</w:t>
            </w:r>
          </w:p>
        </w:tc>
        <w:tc>
          <w:tcPr>
            <w:tcW w:w="203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南京银行安稳1908一年定开</w:t>
            </w:r>
          </w:p>
        </w:tc>
        <w:tc>
          <w:tcPr>
            <w:tcW w:w="2037" w:type="dxa"/>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南京银行股份有限公司南京分行营业部</w:t>
            </w:r>
          </w:p>
        </w:tc>
      </w:tr>
    </w:tbl>
    <w:p w:rsidR="003041BA" w:rsidRDefault="003041BA">
      <w:pPr>
        <w:spacing w:before="240"/>
        <w:rPr>
          <w:rFonts w:ascii="方正仿宋简体" w:eastAsia="方正仿宋简体"/>
          <w:sz w:val="24"/>
          <w:szCs w:val="24"/>
        </w:rPr>
      </w:pPr>
    </w:p>
    <w:p w:rsidR="003041BA" w:rsidRDefault="003F38EF">
      <w:pPr>
        <w:spacing w:before="240"/>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w:t>
      </w:r>
      <w:r>
        <w:rPr>
          <w:rFonts w:ascii="方正仿宋简体" w:eastAsia="方正仿宋简体" w:hAnsi="宋体" w:cs="宋体" w:hint="eastAsia"/>
          <w:color w:val="000000"/>
          <w:kern w:val="0"/>
          <w:sz w:val="24"/>
          <w:szCs w:val="24"/>
        </w:rPr>
        <w:t>的</w:t>
      </w:r>
      <w:r>
        <w:rPr>
          <w:rFonts w:ascii="方正仿宋简体" w:eastAsia="方正仿宋简体" w:hAnsi="宋体" w:cs="宋体" w:hint="eastAsia"/>
          <w:color w:val="000000"/>
          <w:kern w:val="0"/>
          <w:sz w:val="24"/>
          <w:szCs w:val="24"/>
        </w:rPr>
        <w:t>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bookmarkStart w:id="0" w:name="_GoBack"/>
      <w:bookmarkEnd w:id="0"/>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100,000,000.00</w:t>
      </w:r>
      <w:r>
        <w:rPr>
          <w:rFonts w:ascii="方正仿宋简体" w:eastAsia="方正仿宋简体" w:hAnsi="宋体" w:cs="宋体" w:hint="eastAsia"/>
          <w:color w:val="000000"/>
          <w:kern w:val="0"/>
          <w:sz w:val="24"/>
          <w:szCs w:val="24"/>
        </w:rPr>
        <w:t>元。</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202,462,324.66</w:t>
      </w:r>
      <w:r>
        <w:rPr>
          <w:rFonts w:ascii="方正仿宋简体" w:eastAsia="方正仿宋简体" w:hAnsi="宋体" w:cs="宋体" w:hint="eastAsia"/>
          <w:color w:val="000000"/>
          <w:kern w:val="0"/>
          <w:sz w:val="24"/>
          <w:szCs w:val="24"/>
        </w:rPr>
        <w:t>元。</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520,000,000.00</w:t>
      </w:r>
      <w:r>
        <w:rPr>
          <w:rFonts w:ascii="方正仿宋简体" w:eastAsia="方正仿宋简体" w:hAnsi="宋体" w:cs="宋体" w:hint="eastAsia"/>
          <w:color w:val="000000"/>
          <w:kern w:val="0"/>
          <w:sz w:val="24"/>
          <w:szCs w:val="24"/>
        </w:rPr>
        <w:t>元。</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产品支付关联方托管费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520,406.01</w:t>
      </w:r>
      <w:r>
        <w:rPr>
          <w:rFonts w:ascii="方正仿宋简体" w:eastAsia="方正仿宋简体" w:hAnsi="宋体" w:cs="宋体" w:hint="eastAsia"/>
          <w:color w:val="000000"/>
          <w:kern w:val="0"/>
          <w:sz w:val="24"/>
          <w:szCs w:val="24"/>
        </w:rPr>
        <w:t>元，支付关联方代销费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4,411,178.13</w:t>
      </w:r>
      <w:r>
        <w:rPr>
          <w:rFonts w:ascii="方正仿宋简体" w:eastAsia="方正仿宋简体" w:hAnsi="宋体" w:cs="宋体" w:hint="eastAsia"/>
          <w:color w:val="000000"/>
          <w:kern w:val="0"/>
          <w:sz w:val="24"/>
          <w:szCs w:val="24"/>
        </w:rPr>
        <w:t>元。</w:t>
      </w:r>
    </w:p>
    <w:p w:rsidR="003041BA" w:rsidRDefault="003F38EF">
      <w:pPr>
        <w:widowControl/>
        <w:shd w:val="clear" w:color="auto" w:fill="FFFFFF"/>
        <w:spacing w:before="240" w:after="120" w:afterAutospacing="1"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3041BA" w:rsidRDefault="003F38EF">
      <w:pPr>
        <w:spacing w:before="240"/>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3041BA" w:rsidRDefault="003041BA">
      <w:pPr>
        <w:spacing w:before="240"/>
        <w:rPr>
          <w:rFonts w:ascii="方正仿宋简体" w:eastAsia="方正仿宋简体" w:hAnsi="宋体" w:cs="宋体"/>
          <w:kern w:val="0"/>
          <w:sz w:val="24"/>
          <w:szCs w:val="24"/>
        </w:rPr>
      </w:pPr>
    </w:p>
    <w:p w:rsidR="003041BA" w:rsidRDefault="003041BA">
      <w:pPr>
        <w:spacing w:before="240"/>
        <w:rPr>
          <w:rFonts w:ascii="方正仿宋简体" w:eastAsia="方正仿宋简体" w:hAnsi="宋体" w:cs="宋体"/>
          <w:kern w:val="0"/>
          <w:sz w:val="24"/>
          <w:szCs w:val="24"/>
        </w:rPr>
      </w:pPr>
    </w:p>
    <w:p w:rsidR="003041BA" w:rsidRDefault="003041BA">
      <w:pPr>
        <w:spacing w:before="240"/>
        <w:rPr>
          <w:rFonts w:ascii="方正仿宋简体" w:eastAsia="方正仿宋简体" w:hAnsi="宋体" w:cs="宋体"/>
          <w:kern w:val="0"/>
          <w:sz w:val="24"/>
          <w:szCs w:val="24"/>
        </w:rPr>
      </w:pPr>
    </w:p>
    <w:p w:rsidR="003041BA" w:rsidRDefault="003041BA">
      <w:pPr>
        <w:spacing w:before="240"/>
        <w:rPr>
          <w:rFonts w:ascii="方正仿宋简体" w:eastAsia="方正仿宋简体" w:hAnsi="宋体" w:cs="宋体"/>
          <w:kern w:val="0"/>
          <w:sz w:val="24"/>
          <w:szCs w:val="24"/>
        </w:rPr>
      </w:pPr>
    </w:p>
    <w:p w:rsidR="003041BA" w:rsidRDefault="003F38EF">
      <w:pPr>
        <w:spacing w:before="240"/>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3041BA" w:rsidRDefault="003F38EF">
      <w:pPr>
        <w:spacing w:before="240"/>
        <w:jc w:val="right"/>
        <w:rPr>
          <w:rFonts w:ascii="方正仿宋简体" w:eastAsia="方正仿宋简体"/>
          <w:b/>
          <w:sz w:val="24"/>
          <w:szCs w:val="24"/>
        </w:rPr>
      </w:pPr>
      <w:r>
        <w:rPr>
          <w:rFonts w:ascii="方正仿宋简体" w:eastAsia="方正仿宋简体" w:hint="eastAsia"/>
          <w:b/>
          <w:sz w:val="24"/>
          <w:szCs w:val="24"/>
        </w:rPr>
        <w:t>2024年12月31日</w:t>
      </w:r>
    </w:p>
    <w:sectPr w:rsidR="003041BA" w:rsidSect="003041BA">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F38EF" w:rsidRDefault="003F38EF" w:rsidP="003041BA">
      <w:r>
        <w:separator/>
      </w:r>
    </w:p>
  </w:endnote>
  <w:endnote w:type="continuationSeparator" w:id="1">
    <w:p w:rsidR="003F38EF" w:rsidRDefault="003F38EF" w:rsidP="003041B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1BA" w:rsidRDefault="003041BA">
    <w:pPr>
      <w:pStyle w:val="a6"/>
      <w:framePr w:wrap="around" w:vAnchor="text" w:hAnchor="margin" w:xAlign="center" w:y="1"/>
      <w:rPr>
        <w:rStyle w:val="aa"/>
      </w:rPr>
    </w:pPr>
    <w:r>
      <w:fldChar w:fldCharType="begin"/>
    </w:r>
    <w:r w:rsidR="003F38EF">
      <w:rPr>
        <w:rStyle w:val="aa"/>
      </w:rPr>
      <w:instrText xml:space="preserve">PAGE  </w:instrText>
    </w:r>
    <w:r>
      <w:fldChar w:fldCharType="end"/>
    </w:r>
  </w:p>
  <w:p w:rsidR="003041BA" w:rsidRDefault="003041BA">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1BA" w:rsidRDefault="003041BA">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F38EF" w:rsidRDefault="003F38EF" w:rsidP="003041BA">
      <w:r>
        <w:separator/>
      </w:r>
    </w:p>
  </w:footnote>
  <w:footnote w:type="continuationSeparator" w:id="1">
    <w:p w:rsidR="003F38EF" w:rsidRDefault="003F38EF" w:rsidP="003041B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1BA" w:rsidRDefault="003041BA">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41BA" w:rsidRDefault="003041BA">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20F7"/>
    <w:rsid w:val="000060E5"/>
    <w:rsid w:val="0001734B"/>
    <w:rsid w:val="000234FF"/>
    <w:rsid w:val="00026D52"/>
    <w:rsid w:val="000318AA"/>
    <w:rsid w:val="00034FF6"/>
    <w:rsid w:val="00044BFF"/>
    <w:rsid w:val="000470C2"/>
    <w:rsid w:val="0005474A"/>
    <w:rsid w:val="00061725"/>
    <w:rsid w:val="00082D5F"/>
    <w:rsid w:val="00095B95"/>
    <w:rsid w:val="000A3711"/>
    <w:rsid w:val="000D5066"/>
    <w:rsid w:val="000E3A08"/>
    <w:rsid w:val="000E6ACE"/>
    <w:rsid w:val="000F6191"/>
    <w:rsid w:val="001279EA"/>
    <w:rsid w:val="00130CE8"/>
    <w:rsid w:val="0014449D"/>
    <w:rsid w:val="00152201"/>
    <w:rsid w:val="00172A27"/>
    <w:rsid w:val="001735BA"/>
    <w:rsid w:val="00176636"/>
    <w:rsid w:val="00183C84"/>
    <w:rsid w:val="001B497D"/>
    <w:rsid w:val="001C05F9"/>
    <w:rsid w:val="001C5395"/>
    <w:rsid w:val="001E2EEA"/>
    <w:rsid w:val="001E5905"/>
    <w:rsid w:val="001E7120"/>
    <w:rsid w:val="00211F26"/>
    <w:rsid w:val="00224D9D"/>
    <w:rsid w:val="002263FC"/>
    <w:rsid w:val="002448E3"/>
    <w:rsid w:val="00247A0A"/>
    <w:rsid w:val="0026638C"/>
    <w:rsid w:val="00295E85"/>
    <w:rsid w:val="002A3AE9"/>
    <w:rsid w:val="002C196E"/>
    <w:rsid w:val="002C4810"/>
    <w:rsid w:val="002C555A"/>
    <w:rsid w:val="002D2DB0"/>
    <w:rsid w:val="002D6D6F"/>
    <w:rsid w:val="002D75D0"/>
    <w:rsid w:val="002E7131"/>
    <w:rsid w:val="002E795C"/>
    <w:rsid w:val="003041BA"/>
    <w:rsid w:val="00305714"/>
    <w:rsid w:val="00313E71"/>
    <w:rsid w:val="00321CB7"/>
    <w:rsid w:val="003379A9"/>
    <w:rsid w:val="00350ADF"/>
    <w:rsid w:val="00355623"/>
    <w:rsid w:val="00387F9B"/>
    <w:rsid w:val="003A0419"/>
    <w:rsid w:val="003B7361"/>
    <w:rsid w:val="003C4D3B"/>
    <w:rsid w:val="003D4B6E"/>
    <w:rsid w:val="003E09EA"/>
    <w:rsid w:val="003E412C"/>
    <w:rsid w:val="003F0AC3"/>
    <w:rsid w:val="003F38EF"/>
    <w:rsid w:val="00456251"/>
    <w:rsid w:val="00492870"/>
    <w:rsid w:val="004A2DC3"/>
    <w:rsid w:val="004B3B60"/>
    <w:rsid w:val="004B5DED"/>
    <w:rsid w:val="004C1607"/>
    <w:rsid w:val="004E621E"/>
    <w:rsid w:val="004F2359"/>
    <w:rsid w:val="004F313C"/>
    <w:rsid w:val="00500DE2"/>
    <w:rsid w:val="005069D8"/>
    <w:rsid w:val="0051077F"/>
    <w:rsid w:val="00521B27"/>
    <w:rsid w:val="00522858"/>
    <w:rsid w:val="0055440C"/>
    <w:rsid w:val="0056130A"/>
    <w:rsid w:val="0056162E"/>
    <w:rsid w:val="00563B93"/>
    <w:rsid w:val="00567DB3"/>
    <w:rsid w:val="00581E78"/>
    <w:rsid w:val="00594CF2"/>
    <w:rsid w:val="00595354"/>
    <w:rsid w:val="005B3434"/>
    <w:rsid w:val="005B3C9E"/>
    <w:rsid w:val="005B5092"/>
    <w:rsid w:val="005B7384"/>
    <w:rsid w:val="005D5ED6"/>
    <w:rsid w:val="005E0686"/>
    <w:rsid w:val="005E2884"/>
    <w:rsid w:val="005E40C5"/>
    <w:rsid w:val="005E5050"/>
    <w:rsid w:val="005F2C7B"/>
    <w:rsid w:val="005F43AF"/>
    <w:rsid w:val="005F4D04"/>
    <w:rsid w:val="005F7DA9"/>
    <w:rsid w:val="006054F8"/>
    <w:rsid w:val="0065419A"/>
    <w:rsid w:val="00654220"/>
    <w:rsid w:val="00663B94"/>
    <w:rsid w:val="00677F66"/>
    <w:rsid w:val="00691C4B"/>
    <w:rsid w:val="006A77A0"/>
    <w:rsid w:val="006B63CE"/>
    <w:rsid w:val="006C1014"/>
    <w:rsid w:val="006E0CC3"/>
    <w:rsid w:val="006E4E94"/>
    <w:rsid w:val="006F26CF"/>
    <w:rsid w:val="006F69B2"/>
    <w:rsid w:val="007017D8"/>
    <w:rsid w:val="00730BEE"/>
    <w:rsid w:val="0073101E"/>
    <w:rsid w:val="00735153"/>
    <w:rsid w:val="00741E97"/>
    <w:rsid w:val="00745421"/>
    <w:rsid w:val="00745F96"/>
    <w:rsid w:val="00774E0A"/>
    <w:rsid w:val="00782F29"/>
    <w:rsid w:val="007A4219"/>
    <w:rsid w:val="007B08DF"/>
    <w:rsid w:val="007E0B6E"/>
    <w:rsid w:val="007E4637"/>
    <w:rsid w:val="00800690"/>
    <w:rsid w:val="0080200C"/>
    <w:rsid w:val="00814110"/>
    <w:rsid w:val="0082561A"/>
    <w:rsid w:val="00846B2E"/>
    <w:rsid w:val="0085663C"/>
    <w:rsid w:val="00870717"/>
    <w:rsid w:val="008768AB"/>
    <w:rsid w:val="008870FD"/>
    <w:rsid w:val="008904CC"/>
    <w:rsid w:val="008926F7"/>
    <w:rsid w:val="008A7510"/>
    <w:rsid w:val="008C78BD"/>
    <w:rsid w:val="008D57C5"/>
    <w:rsid w:val="008F099C"/>
    <w:rsid w:val="008F0FA3"/>
    <w:rsid w:val="00900D90"/>
    <w:rsid w:val="00902630"/>
    <w:rsid w:val="00931BD2"/>
    <w:rsid w:val="009354D6"/>
    <w:rsid w:val="00956754"/>
    <w:rsid w:val="009679B0"/>
    <w:rsid w:val="00970A98"/>
    <w:rsid w:val="00977E89"/>
    <w:rsid w:val="00994F2E"/>
    <w:rsid w:val="009A4E79"/>
    <w:rsid w:val="009B1695"/>
    <w:rsid w:val="009B2EEF"/>
    <w:rsid w:val="009C4574"/>
    <w:rsid w:val="009C6A99"/>
    <w:rsid w:val="009C781F"/>
    <w:rsid w:val="009D5296"/>
    <w:rsid w:val="009E6170"/>
    <w:rsid w:val="009F1FD4"/>
    <w:rsid w:val="009F4338"/>
    <w:rsid w:val="009F6D0D"/>
    <w:rsid w:val="00A204A0"/>
    <w:rsid w:val="00A4484F"/>
    <w:rsid w:val="00A61A43"/>
    <w:rsid w:val="00A66D8E"/>
    <w:rsid w:val="00A76D4B"/>
    <w:rsid w:val="00A77C47"/>
    <w:rsid w:val="00A9119C"/>
    <w:rsid w:val="00A94A56"/>
    <w:rsid w:val="00AA4549"/>
    <w:rsid w:val="00AA4D99"/>
    <w:rsid w:val="00AA5B04"/>
    <w:rsid w:val="00AC5144"/>
    <w:rsid w:val="00B13014"/>
    <w:rsid w:val="00B17559"/>
    <w:rsid w:val="00B23E1D"/>
    <w:rsid w:val="00B33978"/>
    <w:rsid w:val="00B33B19"/>
    <w:rsid w:val="00B404E6"/>
    <w:rsid w:val="00B4360D"/>
    <w:rsid w:val="00B43E89"/>
    <w:rsid w:val="00B61EA9"/>
    <w:rsid w:val="00B670D1"/>
    <w:rsid w:val="00B74DCA"/>
    <w:rsid w:val="00B90CE8"/>
    <w:rsid w:val="00BC3903"/>
    <w:rsid w:val="00BD0A6A"/>
    <w:rsid w:val="00BE47E0"/>
    <w:rsid w:val="00BF3D9D"/>
    <w:rsid w:val="00BF75C8"/>
    <w:rsid w:val="00C1762E"/>
    <w:rsid w:val="00C20F36"/>
    <w:rsid w:val="00C25123"/>
    <w:rsid w:val="00C2582A"/>
    <w:rsid w:val="00C30A48"/>
    <w:rsid w:val="00C375A7"/>
    <w:rsid w:val="00C44DFE"/>
    <w:rsid w:val="00C62DF8"/>
    <w:rsid w:val="00C640FB"/>
    <w:rsid w:val="00C86023"/>
    <w:rsid w:val="00C935FD"/>
    <w:rsid w:val="00C94EBA"/>
    <w:rsid w:val="00CB054E"/>
    <w:rsid w:val="00CB417C"/>
    <w:rsid w:val="00CC52D7"/>
    <w:rsid w:val="00CE4DED"/>
    <w:rsid w:val="00CF3BBF"/>
    <w:rsid w:val="00D15B21"/>
    <w:rsid w:val="00D23AB6"/>
    <w:rsid w:val="00D50309"/>
    <w:rsid w:val="00D51AA9"/>
    <w:rsid w:val="00D7264A"/>
    <w:rsid w:val="00D84E43"/>
    <w:rsid w:val="00D870DF"/>
    <w:rsid w:val="00DA30A0"/>
    <w:rsid w:val="00DB0C2F"/>
    <w:rsid w:val="00DB2A0F"/>
    <w:rsid w:val="00DB3BF6"/>
    <w:rsid w:val="00DB56A2"/>
    <w:rsid w:val="00DC31CC"/>
    <w:rsid w:val="00DC728A"/>
    <w:rsid w:val="00DD2F3C"/>
    <w:rsid w:val="00DD4E8C"/>
    <w:rsid w:val="00DD65B5"/>
    <w:rsid w:val="00DF6907"/>
    <w:rsid w:val="00E1059D"/>
    <w:rsid w:val="00E155DF"/>
    <w:rsid w:val="00E15FF4"/>
    <w:rsid w:val="00E246E1"/>
    <w:rsid w:val="00E314CE"/>
    <w:rsid w:val="00E41EA0"/>
    <w:rsid w:val="00E514EB"/>
    <w:rsid w:val="00E52823"/>
    <w:rsid w:val="00E52B10"/>
    <w:rsid w:val="00E600D0"/>
    <w:rsid w:val="00E7192D"/>
    <w:rsid w:val="00E82AB5"/>
    <w:rsid w:val="00E944FA"/>
    <w:rsid w:val="00E9797A"/>
    <w:rsid w:val="00EB0DB4"/>
    <w:rsid w:val="00EE0436"/>
    <w:rsid w:val="00F41324"/>
    <w:rsid w:val="00F57C12"/>
    <w:rsid w:val="00F609FD"/>
    <w:rsid w:val="00F64BD9"/>
    <w:rsid w:val="00F7052D"/>
    <w:rsid w:val="00F771E3"/>
    <w:rsid w:val="00F8162C"/>
    <w:rsid w:val="00F82713"/>
    <w:rsid w:val="00F84F36"/>
    <w:rsid w:val="00F859AB"/>
    <w:rsid w:val="00F907A7"/>
    <w:rsid w:val="00F950D0"/>
    <w:rsid w:val="00FA0110"/>
    <w:rsid w:val="00FA2C26"/>
    <w:rsid w:val="00FD1F12"/>
    <w:rsid w:val="00FD412B"/>
    <w:rsid w:val="00FF26C8"/>
    <w:rsid w:val="016D581F"/>
    <w:rsid w:val="030F2BA7"/>
    <w:rsid w:val="04240CEE"/>
    <w:rsid w:val="065551D3"/>
    <w:rsid w:val="06C37561"/>
    <w:rsid w:val="0A236A5A"/>
    <w:rsid w:val="10992483"/>
    <w:rsid w:val="111D4539"/>
    <w:rsid w:val="13297F9C"/>
    <w:rsid w:val="134727C6"/>
    <w:rsid w:val="141A5102"/>
    <w:rsid w:val="159E25E1"/>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8980A6C"/>
    <w:rsid w:val="39E872E9"/>
    <w:rsid w:val="3ABE1FB8"/>
    <w:rsid w:val="3C753CC7"/>
    <w:rsid w:val="3F2C3B54"/>
    <w:rsid w:val="40990310"/>
    <w:rsid w:val="459870AF"/>
    <w:rsid w:val="45ED49CE"/>
    <w:rsid w:val="46F0109E"/>
    <w:rsid w:val="47475A63"/>
    <w:rsid w:val="4E276A76"/>
    <w:rsid w:val="509017BA"/>
    <w:rsid w:val="51482FC3"/>
    <w:rsid w:val="52830253"/>
    <w:rsid w:val="541C469D"/>
    <w:rsid w:val="5BE61B5E"/>
    <w:rsid w:val="602D020F"/>
    <w:rsid w:val="64C67B5C"/>
    <w:rsid w:val="66F47EBC"/>
    <w:rsid w:val="681903E9"/>
    <w:rsid w:val="68823415"/>
    <w:rsid w:val="6898111C"/>
    <w:rsid w:val="6A485270"/>
    <w:rsid w:val="6D05415D"/>
    <w:rsid w:val="6F66394D"/>
    <w:rsid w:val="73193673"/>
    <w:rsid w:val="74543F24"/>
    <w:rsid w:val="74BE328D"/>
    <w:rsid w:val="75523113"/>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41BA"/>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3041BA"/>
    <w:rPr>
      <w:b/>
      <w:bCs/>
    </w:rPr>
  </w:style>
  <w:style w:type="paragraph" w:styleId="a4">
    <w:name w:val="annotation text"/>
    <w:basedOn w:val="a"/>
    <w:link w:val="Char0"/>
    <w:uiPriority w:val="99"/>
    <w:unhideWhenUsed/>
    <w:qFormat/>
    <w:rsid w:val="003041BA"/>
    <w:pPr>
      <w:jc w:val="left"/>
    </w:pPr>
  </w:style>
  <w:style w:type="paragraph" w:styleId="a5">
    <w:name w:val="Balloon Text"/>
    <w:basedOn w:val="a"/>
    <w:link w:val="Char1"/>
    <w:uiPriority w:val="99"/>
    <w:unhideWhenUsed/>
    <w:qFormat/>
    <w:rsid w:val="003041BA"/>
    <w:rPr>
      <w:sz w:val="18"/>
      <w:szCs w:val="18"/>
    </w:rPr>
  </w:style>
  <w:style w:type="paragraph" w:styleId="a6">
    <w:name w:val="footer"/>
    <w:basedOn w:val="a"/>
    <w:link w:val="Char2"/>
    <w:uiPriority w:val="99"/>
    <w:unhideWhenUsed/>
    <w:qFormat/>
    <w:rsid w:val="003041BA"/>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3041BA"/>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3041BA"/>
    <w:pPr>
      <w:snapToGrid w:val="0"/>
      <w:jc w:val="left"/>
    </w:pPr>
    <w:rPr>
      <w:sz w:val="18"/>
    </w:rPr>
  </w:style>
  <w:style w:type="paragraph" w:styleId="a9">
    <w:name w:val="Normal (Web)"/>
    <w:basedOn w:val="a"/>
    <w:qFormat/>
    <w:rsid w:val="003041BA"/>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3041BA"/>
  </w:style>
  <w:style w:type="character" w:styleId="ab">
    <w:name w:val="annotation reference"/>
    <w:uiPriority w:val="99"/>
    <w:unhideWhenUsed/>
    <w:qFormat/>
    <w:rsid w:val="003041BA"/>
    <w:rPr>
      <w:sz w:val="21"/>
      <w:szCs w:val="21"/>
    </w:rPr>
  </w:style>
  <w:style w:type="character" w:styleId="ac">
    <w:name w:val="footnote reference"/>
    <w:uiPriority w:val="99"/>
    <w:unhideWhenUsed/>
    <w:qFormat/>
    <w:rsid w:val="003041BA"/>
    <w:rPr>
      <w:vertAlign w:val="superscript"/>
    </w:rPr>
  </w:style>
  <w:style w:type="character" w:customStyle="1" w:styleId="Char1">
    <w:name w:val="批注框文本 Char"/>
    <w:link w:val="a5"/>
    <w:uiPriority w:val="99"/>
    <w:semiHidden/>
    <w:qFormat/>
    <w:rsid w:val="003041BA"/>
    <w:rPr>
      <w:kern w:val="2"/>
      <w:sz w:val="18"/>
      <w:szCs w:val="18"/>
    </w:rPr>
  </w:style>
  <w:style w:type="character" w:customStyle="1" w:styleId="Char3">
    <w:name w:val="页眉 Char"/>
    <w:link w:val="a7"/>
    <w:uiPriority w:val="99"/>
    <w:semiHidden/>
    <w:qFormat/>
    <w:locked/>
    <w:rsid w:val="003041BA"/>
    <w:rPr>
      <w:rFonts w:ascii="Times New Roman" w:hAnsi="Times New Roman" w:cs="Times New Roman" w:hint="default"/>
      <w:sz w:val="18"/>
      <w:szCs w:val="18"/>
    </w:rPr>
  </w:style>
  <w:style w:type="character" w:customStyle="1" w:styleId="Char">
    <w:name w:val="批注主题 Char"/>
    <w:link w:val="a3"/>
    <w:uiPriority w:val="99"/>
    <w:semiHidden/>
    <w:qFormat/>
    <w:rsid w:val="003041BA"/>
    <w:rPr>
      <w:b/>
      <w:bCs/>
      <w:kern w:val="2"/>
      <w:sz w:val="21"/>
      <w:szCs w:val="22"/>
    </w:rPr>
  </w:style>
  <w:style w:type="character" w:customStyle="1" w:styleId="Char2">
    <w:name w:val="页脚 Char"/>
    <w:link w:val="a6"/>
    <w:uiPriority w:val="99"/>
    <w:semiHidden/>
    <w:qFormat/>
    <w:locked/>
    <w:rsid w:val="003041BA"/>
    <w:rPr>
      <w:rFonts w:ascii="Times New Roman" w:hAnsi="Times New Roman" w:cs="Times New Roman" w:hint="default"/>
      <w:sz w:val="18"/>
      <w:szCs w:val="18"/>
    </w:rPr>
  </w:style>
  <w:style w:type="character" w:customStyle="1" w:styleId="Char0">
    <w:name w:val="批注文字 Char"/>
    <w:link w:val="a4"/>
    <w:uiPriority w:val="99"/>
    <w:qFormat/>
    <w:rsid w:val="003041BA"/>
    <w:rPr>
      <w:kern w:val="2"/>
      <w:sz w:val="21"/>
      <w:szCs w:val="22"/>
    </w:rPr>
  </w:style>
  <w:style w:type="paragraph" w:customStyle="1" w:styleId="zhongyaotishi">
    <w:name w:val="zhongyaotishi"/>
    <w:basedOn w:val="a"/>
    <w:qFormat/>
    <w:rsid w:val="003041BA"/>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3041B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3041B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3041B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3041B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3041BA"/>
    <w:pPr>
      <w:widowControl w:val="0"/>
      <w:jc w:val="center"/>
    </w:pPr>
    <w:rPr>
      <w:kern w:val="2"/>
      <w:sz w:val="33"/>
      <w:szCs w:val="22"/>
    </w:rPr>
  </w:style>
  <w:style w:type="paragraph" w:customStyle="1" w:styleId="biaogeleft">
    <w:name w:val="biaoge_left"/>
    <w:basedOn w:val="a"/>
    <w:qFormat/>
    <w:rsid w:val="003041B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3041B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3041B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3041BA"/>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3041BA"/>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3041BA"/>
    <w:pPr>
      <w:widowControl w:val="0"/>
    </w:pPr>
    <w:rPr>
      <w:kern w:val="2"/>
      <w:sz w:val="21"/>
      <w:szCs w:val="22"/>
    </w:rPr>
  </w:style>
  <w:style w:type="paragraph" w:customStyle="1" w:styleId="neirong">
    <w:name w:val="neirong"/>
    <w:basedOn w:val="a"/>
    <w:qFormat/>
    <w:rsid w:val="003041B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3041BA"/>
    <w:pPr>
      <w:jc w:val="both"/>
    </w:pPr>
    <w:rPr>
      <w:kern w:val="2"/>
      <w:sz w:val="21"/>
      <w:szCs w:val="21"/>
    </w:rPr>
  </w:style>
  <w:style w:type="paragraph" w:customStyle="1" w:styleId="Default">
    <w:name w:val="Default"/>
    <w:qFormat/>
    <w:rsid w:val="003041BA"/>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380</Words>
  <Characters>2169</Characters>
  <Application>Microsoft Office Word</Application>
  <DocSecurity>0</DocSecurity>
  <Lines>18</Lines>
  <Paragraphs>5</Paragraphs>
  <ScaleCrop>false</ScaleCrop>
  <Company>微软中国</Company>
  <LinksUpToDate>false</LinksUpToDate>
  <CharactersWithSpaces>2544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2022-07-26T07:21:00Z</dcterms:created>
  <dc:creator>总行金融市场部本币投资交易部梅浩超</dc:creator>
  <cp:lastModifiedBy>未定义</cp:lastModifiedBy>
  <cp:lastPrinted>2019-09-11T00:56:00Z</cp:lastPrinted>
  <dcterms:modified xsi:type="dcterms:W3CDTF">2024-04-28T07:57:00Z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