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南银理财珠联璧合悦稳（最低持有280天）公募人民币理财产品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南银理财珠联璧合悦稳（最低持有280天）公募人民币理财产品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2022年04月27日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4,248,486,522.09份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中粮信托有限责任公司,厦门国际信托有限公司,鑫元基金管理有限公司,江苏省国际信托有限责任公司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3,893,523,567.24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1.0939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1.0939</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756,104,140.23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操作方面，本产品坚持稳健配置的管理思路，精选中短久期信用债、银行存款、债券回购为主要配置资产，兼顾收益与流动性。下一阶段，本产品操作上将精选短久期高等级信用债，适当提高市值敞口和久期，为客户提供稳定的有竞争力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截至报告期末，本产品A32005份额净值为1.0939元，A32006份额净值为1.0971元。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1,721,877,955.50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1,107,177,125.21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604,672,115.24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491,214,228.68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北京银行上海分行活期存款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271,037,500.00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XJCKX202502270001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网商银行活期存款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251978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23射城01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15,689,535.00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194404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22如开02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15,018,285.00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252477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23丰港04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10,414,450.00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137620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22连城G4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10,336,790.00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0120050000000806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南银理财悦稳最低持有280天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产品投资关联方作为管理人的资产管理产品交易金额210,000,000.00元。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产品支付关联方托管费262,321.63元，支付关联方代销费1,428,006.10元。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