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南银理财鼎瑞悦稳（最低持有14天）公募人民币理财产品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南银理财鼎瑞悦稳（最低持有14天）公募人民币理财产品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Z7003223000182（投资者可依据该编码在中国理财网www.chinawealth.com.cn查询理财产品相关信息）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5,651,323,998.44份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中粮信托有限责任公司,国投泰康信托有限公司,广发基金管理有限公司,紫金信托有限责任公司,陆家嘴国际信托有限公司,江苏省国际信托有限责任公司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3,707,423,696.41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1.042232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1.042232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22,562,743.91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2,157,477,111.76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1.041479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1.041479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965,269.74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1.039240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操作方面，本产品坚持稳健配置的管理思路，精选中短久期信用债、银行存款、债券回购为主要配置资产，兼顾收益与流动性。下一阶段，本产品操作上将精选短久期高等级信用债，适当提高市值敞口和久期，为客户提供稳定的有竞争力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截至报告期末，本产品A32014份额净值为1.042232元，A32015份额净值为1.042170元，A32016份额净值为1.041479元，A32028份额净值为1.039240元。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95.80%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4.20%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300,031,266.67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266,735,663.49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252254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23临开Y1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252336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23吴旅02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254629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24常交01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252630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23未来05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112408130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24中信银行CD130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146,807,700.00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082480097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24惠启ABN004优先A1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100,012,400.00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DQCKX202406170003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中国银行定期存款20240617B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252174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23嘉创01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0101080000000712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南京银行南京分行南银理财鼎瑞悦稳最低持有14天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产品投资于关联方承销的证券交易金额90,010,739.72元。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产品投资关联方作为管理人的资产管理产品交易金额220,000,000.00元。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产品支付关联方托管费402,179.73元，支付关联方代销费2,846,346.72元。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