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南银理财鼎瑞悦稳（最低持有7天）2号公募人民币理财产品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2,698,821,326.15份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中粮信托有限责任公司,国投泰康信托有限公司,紫金信托有限责任公司,陆家嘴国际信托有限公司,建信保险资产管理有限公司,泰康资产管理有限责任公司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1,040,195,739.56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1,033,740.07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1.033740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1.033740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361,096,330.08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1.031684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1,337,892,926.87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1.030568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1.030568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30,596,985.36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1.029368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1.029368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12,896,373.09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1.032013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1.032013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操作方面，本产品坚持稳健配置的管理思路，精选中短久期信用债、银行存款、债券回购为主要配置资产，兼顾收益与流动性。下一阶段，本产品操作上将精选短久期高等级信用债，适当提高市值敞口和久期，为客户提供稳定的有竞争力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截至报告期末，本产品A32017份额净值为1.032569元，A32018份额净值为1.033740元，A32019份额净值为1.031684元，A32024份额净值为1.030568元，A32025份额净值为1.029368元，A32026份额净值为1.032013元。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350,509,377.68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245,559,649.84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泰康资产纯泰33号资产管理产品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206,800,738.36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146,016,767.49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104,081,196.03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建信资管浦江安盈货币3号资产管理产品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100,249,775.98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112403283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24农业银行CD283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98,645,300.00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112513034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25浙商银行CD034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98,575,800.00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112403245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24农业银行CD245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98,126,000.00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112470607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24赣州银行CD170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97,988,600.00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产品投资关联方作为管理人的资产管理产品交易金额180,200,000.00元。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产品支付关联方托管费167,434.29元，支付关联方代销费945,305.17元。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