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南银理财鼎瑞悦稳（最低持有7天）3号公募人民币理财产品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南银理财鼎瑞悦稳（最低持有7天）3号公募人民币理财产品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Z7003224000047（投资者可依据该编码在中国理财网www.chinawealth.com.cn查询理财产品相关信息）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2024年02月02日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4,264,979,975.12份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中粮信托有限责任公司,陆家嘴国际信托有限公司,建信保险资产管理有限公司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3,609,669,179.32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1.025096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1.025096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40,615,549.48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1.024346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1.024346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140,757,069.84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1.022455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1.022455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562,992,132.29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1.023168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1.023168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操作方面，本产品坚持稳健配置的管理思路，精选中短久期信用债、银行存款、债券回购为主要配置资产，兼顾收益与流动性。下一阶段，本产品操作上将精选短久期高等级信用债，适当提高市值敞口和久期，为客户提供稳定的有竞争力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截至报告期末，本产品A32020份额净值为1.025096元，A32021份额净值为1.024346元，A32022份额净值为1.022455元，A32023份额净值为1.023168元。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99.39%</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96.99%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0.61%</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605,389,820.09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13.85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012482248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24南通高新SCP002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159,980,640.00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XJCKX202503250001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北京银行活期存款L20250325</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ZJQTT202410140001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建信资管浦江安盈货币3号资产管理产品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101,464,085.40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254291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24长经02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DQCKX202406170003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中国银行定期存款20240617B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112591760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25徽商银行CD020</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99,071,600.00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112591774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25昆仑银行CD006</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99,067,800.00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112402079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24工商银行CD079</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98,566,300.00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112591562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25桂林银行CD018</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98,542,000.00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0101090000000924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南京银行南京分行南银理财鼎瑞悦稳最低持有7天3号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产品投资关联方作为管理人的资产管理产品交易金额60,000,000.00元。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产品支付关联方托管费354,347.16元，支付关联方代销费1,453,069.75元。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