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南银理财鼎瑞悦稳红利（最低持有371天）公募人民币理财产品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南银理财鼎瑞悦稳红利（最低持有371天）公募人民币理财产品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965,541,174.66份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958,229,037.41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1.037484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14,535,772.37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1.007249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1.035245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截至报告期末，本产品A33001份额净值为1.007484元，A33003份额净值为1.007249元。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522,046,823.55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395,404,394.18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53,164,000.00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产品支付关联方托管费49,071.80元，支付关联方代销费255,852.13元。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