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49,155,479.00份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33,468,204.02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14,314,793.79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1,960,241.94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截至报告期末，本产品Y60095份额净值为1.0118元，Y61095份额净值为1.0122元，Y62095份额净值为1.0126元。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35,682,195.32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0101080000001245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产品支付关联方托管费0.00元，支付关联方代销费10,128.32元。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