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6,532,589,755.37份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上海国际信托有限公司,中粮信托有限责任公司,中诚信托有限责任公司,南京证券股份有限公司,国投泰康信托有限公司,国联基金管理有限公司,天弘基金管理有限公司,广东粤财信托有限公司,招商基金管理有限公司,百瑞信托有限责任公司,鑫元基金管理有限公司,鑫沅资产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4,448,666,188.48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457,644,252.98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375,424,332.41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373,761,370.29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180,373,434.99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33,929,739.61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242,147,112.54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100,739,465.89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44,725,806.03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158,269,327.56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62,923,172.42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129,146,366.92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30009份额净值为1.0116元，Z31009份额净值为1.0115元，Z32009份额净值为1.0109元，Z33009份额净值为1.0106元，ZA30009份额净值为1.0121元，ZA31009份额净值为1.0120元，ZA32009份额净值为1.0114元，ZA33009份额净值为1.0111元，ZB30009份额净值为1.0119元，ZB31009份额净值为1.0118元，ZB32009份额净值为1.0113元，ZB33009份额净值为1.0109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1,318,953,398.72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873,439,836.37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327,806,091.79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324,670,945.68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300,775,125.00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202,569,208.00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200,590,586.00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200,445,016.00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XTDKX202504080003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190,385,099.60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135,340,001.55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百瑞恒益1606号集合资金信托计划（南瑞10号）第1期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上海信托·襟江投资信托贷款集合资金信托计划（第1期）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产品投资于关联方承销的证券交易金额50,003,931.51元。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产品支付关联方托管费324,098.82元，支付关联方代销费1,712,645.19元。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