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苏银理财启源现金6号</w:t>
      </w:r>
      <w:r>
        <w:rPr>
          <w:rFonts w:hint="eastAsia" w:ascii="楷体" w:hAnsi="楷体" w:eastAsia="楷体" w:cs="楷体"/>
          <w:b/>
          <w:sz w:val="36"/>
          <w:szCs w:val="36"/>
        </w:rPr>
        <w:t>”理财产品</w:t>
      </w:r>
    </w:p>
    <w:p>
      <w:pPr>
        <w:pStyle w:val="8"/>
        <w:spacing w:before="0" w:beforeAutospacing="0" w:after="0" w:afterAutospacing="0"/>
        <w:jc w:val="center"/>
        <w:rPr>
          <w:rFonts w:ascii="楷体" w:hAnsi="楷体" w:eastAsia="楷体" w:cs="楷体"/>
          <w:b/>
          <w:sz w:val="36"/>
          <w:szCs w:val="36"/>
        </w:rPr>
      </w:pPr>
      <w:r>
        <w:rPr>
          <w:rFonts w:hint="eastAsia" w:ascii="楷体" w:hAnsi="楷体" w:eastAsia="楷体" w:cs="楷体"/>
          <w:b/>
          <w:bCs/>
          <w:spacing w:val="4"/>
          <w:sz w:val="36"/>
          <w:szCs w:val="36"/>
        </w:rPr>
        <w:t>2025年半年度</w:t>
      </w:r>
      <w:r>
        <w:rPr>
          <w:rFonts w:hint="eastAsia" w:ascii="楷体" w:hAnsi="楷体" w:eastAsia="楷体" w:cs="楷体"/>
          <w:b/>
          <w:sz w:val="36"/>
          <w:szCs w:val="36"/>
        </w:rPr>
        <w:t>投资管理报告</w:t>
      </w:r>
    </w:p>
    <w:p>
      <w:pPr>
        <w:pStyle w:val="8"/>
        <w:spacing w:before="0" w:beforeAutospacing="0" w:after="0" w:afterAutospacing="0" w:line="360" w:lineRule="auto"/>
        <w:rPr>
          <w:rFonts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ascii="楷体" w:hAnsi="楷体" w:eastAsia="楷体" w:cs="楷体"/>
        </w:rPr>
      </w:pPr>
      <w:r>
        <w:rPr>
          <w:rFonts w:hint="eastAsia" w:ascii="楷体" w:hAnsi="楷体" w:eastAsia="楷体" w:cs="楷体"/>
        </w:rPr>
        <w:t>“</w:t>
      </w:r>
      <w:r>
        <w:rPr>
          <w:rFonts w:hint="eastAsia" w:ascii="楷体" w:hAnsi="楷体" w:eastAsia="楷体" w:cs="楷体"/>
          <w:spacing w:val="-7"/>
        </w:rPr>
        <w:t>苏银理财启源现金6号</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2023年07月20日</w:t>
      </w:r>
      <w:r>
        <w:rPr>
          <w:rFonts w:hint="eastAsia" w:ascii="楷体" w:hAnsi="楷体" w:eastAsia="楷体" w:cs="楷体"/>
        </w:rPr>
        <w:t>成立，于</w:t>
      </w:r>
      <w:r>
        <w:rPr>
          <w:rFonts w:hint="eastAsia" w:ascii="楷体" w:hAnsi="楷体" w:eastAsia="楷体" w:cs="楷体"/>
          <w:spacing w:val="-7"/>
        </w:rPr>
        <w:t>2023年07月20日</w:t>
      </w:r>
      <w:r>
        <w:rPr>
          <w:rFonts w:hint="eastAsia" w:ascii="楷体" w:hAnsi="楷体" w:eastAsia="楷体" w:cs="楷体"/>
        </w:rPr>
        <w:t>正式投资运作。</w:t>
      </w:r>
    </w:p>
    <w:p>
      <w:pPr>
        <w:pStyle w:val="8"/>
        <w:spacing w:before="0" w:beforeAutospacing="0" w:after="0" w:afterAutospacing="0" w:line="360" w:lineRule="auto"/>
        <w:rPr>
          <w:rFonts w:ascii="楷体" w:hAnsi="楷体" w:eastAsia="楷体" w:cs="楷体"/>
        </w:rPr>
      </w:pPr>
    </w:p>
    <w:p>
      <w:pPr>
        <w:pStyle w:val="2"/>
        <w:rPr>
          <w:rFonts w:ascii="楷体" w:hAnsi="楷体" w:cs="楷体"/>
        </w:rPr>
      </w:pPr>
      <w:r>
        <w:rPr>
          <w:rFonts w:hint="eastAsia" w:ascii="楷体" w:hAnsi="楷体" w:cs="楷体"/>
        </w:rPr>
        <w:t>一</w:t>
      </w:r>
      <w:bookmarkStart w:id="0" w:name="_Toc535504139"/>
      <w:r>
        <w:rPr>
          <w:rFonts w:hint="eastAsia" w:ascii="楷体" w:hAnsi="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sz w:val="24"/>
                <w:szCs w:val="24"/>
                <w:highlight w:val="yellow"/>
              </w:rPr>
            </w:pPr>
            <w:r>
              <w:rPr>
                <w:rFonts w:hint="eastAsia"/>
                <w:spacing w:val="-6"/>
                <w:sz w:val="24"/>
                <w:szCs w:val="24"/>
              </w:rPr>
              <w:t>苏银理财启源现金6号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sz w:val="24"/>
                <w:szCs w:val="24"/>
                <w:highlight w:val="yellow"/>
              </w:rPr>
            </w:pPr>
            <w:r>
              <w:rPr>
                <w:rFonts w:hint="eastAsia"/>
                <w:spacing w:val="-1"/>
                <w:sz w:val="24"/>
                <w:szCs w:val="24"/>
              </w:rPr>
              <w:t>Z7003123000103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sz w:val="24"/>
                <w:szCs w:val="24"/>
                <w:highlight w:val="yellow"/>
              </w:rPr>
            </w:pPr>
            <w:r>
              <w:rPr>
                <w:rFonts w:hint="eastAsia"/>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sz w:val="24"/>
                <w:szCs w:val="24"/>
                <w:highlight w:val="yellow"/>
              </w:rPr>
            </w:pPr>
            <w:r>
              <w:rPr>
                <w:rFonts w:hint="eastAsia"/>
                <w:spacing w:val="-1"/>
                <w:sz w:val="24"/>
                <w:szCs w:val="24"/>
              </w:rPr>
              <w:t>10,186,606,650.35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sz w:val="24"/>
                <w:szCs w:val="24"/>
                <w:highlight w:val="yellow"/>
              </w:rPr>
            </w:pPr>
            <w:r>
              <w:rPr>
                <w:rFonts w:hint="eastAsia"/>
                <w:spacing w:val="-1"/>
                <w:sz w:val="24"/>
                <w:szCs w:val="24"/>
              </w:rPr>
              <w:t>10,186,606,650.35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sz w:val="24"/>
                <w:szCs w:val="24"/>
                <w:highlight w:val="yellow"/>
              </w:rPr>
            </w:pPr>
            <w:r>
              <w:rPr>
                <w:rFonts w:hint="eastAsia"/>
                <w:spacing w:val="-8"/>
                <w:sz w:val="24"/>
                <w:szCs w:val="24"/>
              </w:rPr>
              <w:t>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sz w:val="24"/>
                <w:szCs w:val="24"/>
                <w:highlight w:val="yellow"/>
              </w:rPr>
            </w:pPr>
            <w:r>
              <w:rPr>
                <w:rFonts w:hint="eastAsia"/>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sz w:val="24"/>
                <w:szCs w:val="24"/>
                <w:highlight w:val="yellow"/>
              </w:rPr>
            </w:pPr>
            <w:r>
              <w:rPr>
                <w:rFonts w:hint="eastAsia"/>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sz w:val="24"/>
                <w:szCs w:val="24"/>
                <w:highlight w:val="yellow"/>
              </w:rPr>
            </w:pPr>
            <w:r>
              <w:rPr>
                <w:rFonts w:hint="eastAsia"/>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sz w:val="24"/>
                <w:szCs w:val="24"/>
                <w:highlight w:val="yellow"/>
              </w:rPr>
            </w:pPr>
            <w:r>
              <w:rPr>
                <w:rFonts w:hint="eastAsia"/>
                <w:spacing w:val="-1"/>
                <w:sz w:val="24"/>
                <w:szCs w:val="24"/>
              </w:rPr>
              <w:t>31000188000543259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sz w:val="24"/>
                <w:szCs w:val="24"/>
              </w:rPr>
            </w:pPr>
            <w:r>
              <w:rPr>
                <w:rFonts w:hint="eastAsia"/>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sz w:val="24"/>
                <w:szCs w:val="24"/>
              </w:rPr>
            </w:pPr>
            <w:r>
              <w:rPr>
                <w:rFonts w:hint="eastAsia"/>
                <w:spacing w:val="-1"/>
                <w:sz w:val="24"/>
                <w:szCs w:val="24"/>
              </w:rPr>
              <w:t>10,307,861,210.6</w:t>
            </w:r>
            <w:r>
              <w:rPr>
                <w:rFonts w:hint="eastAsia"/>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sz w:val="24"/>
                <w:szCs w:val="24"/>
              </w:rPr>
            </w:pPr>
            <w:r>
              <w:rPr>
                <w:rFonts w:hint="eastAsia"/>
                <w:spacing w:val="-4"/>
                <w:sz w:val="24"/>
                <w:szCs w:val="24"/>
              </w:rPr>
              <w:t>101.19%</w:t>
            </w:r>
          </w:p>
        </w:tc>
      </w:tr>
    </w:tbl>
    <w:p>
      <w:pPr>
        <w:pStyle w:val="14"/>
        <w:rPr>
          <w:rFonts w:ascii="楷体" w:hAnsi="楷体" w:cs="楷体"/>
        </w:rPr>
      </w:pPr>
    </w:p>
    <w:p>
      <w:pPr>
        <w:pStyle w:val="2"/>
        <w:rPr>
          <w:rFonts w:ascii="楷体" w:hAnsi="楷体" w:cs="楷体"/>
        </w:rPr>
      </w:pPr>
      <w:r>
        <w:rPr>
          <w:rFonts w:hint="eastAsia" w:ascii="楷体" w:hAnsi="楷体" w:cs="楷体"/>
        </w:rPr>
        <w:t>二、产品收益与业绩比较基准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085"/>
        <w:gridCol w:w="1500"/>
        <w:gridCol w:w="1665"/>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ascii="楷体" w:hAnsi="楷体" w:eastAsia="楷体" w:cs="楷体"/>
                <w:sz w:val="21"/>
                <w:szCs w:val="21"/>
              </w:rPr>
            </w:pPr>
            <w:r>
              <w:rPr>
                <w:rFonts w:hint="eastAsia" w:ascii="楷体" w:hAnsi="楷体" w:eastAsia="楷体" w:cs="楷体"/>
                <w:sz w:val="21"/>
                <w:szCs w:val="21"/>
              </w:rPr>
              <w:t>报告日期</w:t>
            </w:r>
          </w:p>
        </w:tc>
        <w:tc>
          <w:tcPr>
            <w:tcW w:w="2085" w:type="dxa"/>
          </w:tcPr>
          <w:p>
            <w:pPr>
              <w:spacing w:line="320" w:lineRule="exact"/>
              <w:jc w:val="center"/>
              <w:rPr>
                <w:rFonts w:ascii="楷体" w:hAnsi="楷体" w:eastAsia="楷体" w:cs="楷体"/>
                <w:sz w:val="21"/>
                <w:szCs w:val="21"/>
              </w:rPr>
            </w:pPr>
            <w:r>
              <w:rPr>
                <w:rFonts w:hint="eastAsia" w:ascii="楷体" w:hAnsi="楷体" w:eastAsia="楷体" w:cs="楷体"/>
                <w:sz w:val="21"/>
                <w:szCs w:val="21"/>
              </w:rPr>
              <w:t>销售名称</w:t>
            </w:r>
          </w:p>
        </w:tc>
        <w:tc>
          <w:tcPr>
            <w:tcW w:w="1500" w:type="dxa"/>
          </w:tcPr>
          <w:p>
            <w:pPr>
              <w:jc w:val="center"/>
              <w:rPr>
                <w:rFonts w:ascii="楷体" w:hAnsi="楷体" w:eastAsia="楷体" w:cs="楷体"/>
                <w:sz w:val="21"/>
                <w:szCs w:val="21"/>
              </w:rPr>
            </w:pPr>
            <w:r>
              <w:rPr>
                <w:rFonts w:hint="eastAsia" w:ascii="楷体" w:hAnsi="楷体" w:eastAsia="楷体" w:cs="楷体"/>
                <w:sz w:val="21"/>
                <w:szCs w:val="21"/>
              </w:rPr>
              <w:t>每万份收益</w:t>
            </w:r>
          </w:p>
        </w:tc>
        <w:tc>
          <w:tcPr>
            <w:tcW w:w="1665" w:type="dxa"/>
          </w:tcPr>
          <w:p>
            <w:pPr>
              <w:jc w:val="center"/>
              <w:rPr>
                <w:rFonts w:ascii="楷体" w:hAnsi="楷体" w:eastAsia="楷体" w:cs="楷体"/>
                <w:sz w:val="21"/>
                <w:szCs w:val="21"/>
              </w:rPr>
            </w:pPr>
            <w:r>
              <w:rPr>
                <w:rFonts w:hint="eastAsia" w:ascii="楷体" w:hAnsi="楷体" w:eastAsia="楷体" w:cs="楷体"/>
                <w:sz w:val="21"/>
                <w:szCs w:val="21"/>
              </w:rPr>
              <w:t>七日年化收益率</w:t>
            </w:r>
          </w:p>
        </w:tc>
        <w:tc>
          <w:tcPr>
            <w:tcW w:w="1861" w:type="dxa"/>
          </w:tcPr>
          <w:p>
            <w:pPr>
              <w:jc w:val="center"/>
              <w:rPr>
                <w:rFonts w:ascii="楷体" w:hAnsi="楷体" w:eastAsia="楷体" w:cs="楷体"/>
                <w:sz w:val="21"/>
                <w:szCs w:val="21"/>
              </w:rPr>
            </w:pPr>
            <w:r>
              <w:rPr>
                <w:rFonts w:hint="eastAsia" w:ascii="楷体" w:hAnsi="楷体" w:eastAsia="楷体" w:cs="楷体"/>
                <w:sz w:val="21"/>
                <w:szCs w:val="21"/>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ascii="楷体" w:hAnsi="楷体" w:eastAsia="楷体" w:cs="楷体"/>
                <w:sz w:val="22"/>
              </w:rPr>
            </w:pPr>
            <w:r>
              <w:rPr>
                <w:rFonts w:hint="eastAsia" w:ascii="楷体" w:hAnsi="楷体" w:eastAsia="楷体" w:cs="楷体"/>
                <w:sz w:val="22"/>
              </w:rPr>
              <w:t>2025-06-30</w:t>
            </w:r>
          </w:p>
        </w:tc>
        <w:tc>
          <w:tcPr>
            <w:tcW w:w="2085" w:type="dxa"/>
          </w:tcPr>
          <w:p>
            <w:pPr>
              <w:jc w:val="center"/>
              <w:rPr>
                <w:rFonts w:ascii="楷体" w:hAnsi="楷体" w:eastAsia="楷体" w:cs="楷体"/>
                <w:sz w:val="22"/>
              </w:rPr>
            </w:pPr>
            <w:r>
              <w:rPr>
                <w:rFonts w:hint="eastAsia" w:ascii="楷体" w:hAnsi="楷体" w:eastAsia="楷体" w:cs="楷体"/>
                <w:sz w:val="22"/>
              </w:rPr>
              <w:t>苏银理财启源现金6号DG</w:t>
            </w:r>
          </w:p>
        </w:tc>
        <w:tc>
          <w:tcPr>
            <w:tcW w:w="1500" w:type="dxa"/>
          </w:tcPr>
          <w:p>
            <w:pPr>
              <w:jc w:val="center"/>
              <w:rPr>
                <w:rFonts w:ascii="楷体" w:hAnsi="楷体" w:eastAsia="楷体" w:cs="楷体"/>
                <w:sz w:val="22"/>
              </w:rPr>
            </w:pPr>
            <w:r>
              <w:rPr>
                <w:rFonts w:hint="eastAsia" w:ascii="楷体" w:hAnsi="楷体" w:eastAsia="楷体" w:cs="楷体"/>
                <w:sz w:val="22"/>
              </w:rPr>
              <w:t>0.5327</w:t>
            </w:r>
          </w:p>
        </w:tc>
        <w:tc>
          <w:tcPr>
            <w:tcW w:w="1665" w:type="dxa"/>
          </w:tcPr>
          <w:p>
            <w:pPr>
              <w:jc w:val="center"/>
              <w:rPr>
                <w:rFonts w:ascii="楷体" w:hAnsi="楷体" w:eastAsia="楷体" w:cs="楷体"/>
                <w:sz w:val="22"/>
              </w:rPr>
            </w:pPr>
            <w:r>
              <w:rPr>
                <w:rFonts w:hint="eastAsia" w:ascii="楷体" w:hAnsi="楷体" w:eastAsia="楷体" w:cs="楷体"/>
                <w:sz w:val="22"/>
              </w:rPr>
              <w:t>1.85%</w:t>
            </w:r>
          </w:p>
        </w:tc>
        <w:tc>
          <w:tcPr>
            <w:tcW w:w="1861" w:type="dxa"/>
          </w:tcPr>
          <w:p>
            <w:pPr>
              <w:jc w:val="center"/>
              <w:rPr>
                <w:rFonts w:ascii="楷体" w:hAnsi="楷体" w:eastAsia="楷体" w:cs="楷体"/>
                <w:sz w:val="22"/>
              </w:rPr>
            </w:pPr>
            <w:r>
              <w:rPr>
                <w:rFonts w:hint="eastAsia" w:ascii="楷体" w:hAnsi="楷体" w:eastAsia="楷体" w:cs="楷体"/>
                <w:sz w:val="22"/>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苏银理财启源现金6号W</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0.4204</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1.43%</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苏银理财启源现金6号K</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0.4944</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1.70%</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苏银理财启源现金6号N</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0.7926</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2.94%</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苏银理财启源现金6号JS鑫福款</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0.5899</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1.97%</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苏银理财启源现金6号H</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0.4944</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1.70%</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苏银理财启源现金6号J</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0.4423</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1.51%</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苏银理财启源现金6号I</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0.4670</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1.60%</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苏银理财启源现金6号（芙蓉锦程·优选）</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0.4560</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1.56%</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苏银理财启源现金6号S</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0.4944</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1.70%</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苏银理财启源现金6号B</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0.4560</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1.56%</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苏银理财启源现金6号A</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0.4944</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1.70%</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苏银理财启源现金6号X</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0.4944</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1.70%</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苏银理财启源现金6号DG2</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0.4995</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1.84%</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苏银理财启源现金6号P</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0.8078</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2.99%</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苏银理财启源现金6号F</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0.4807</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1.65%</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bl>
    <w:p>
      <w:pPr>
        <w:rPr>
          <w:rFonts w:ascii="楷体" w:hAnsi="楷体" w:eastAsia="楷体" w:cs="楷体"/>
        </w:rPr>
      </w:pPr>
    </w:p>
    <w:p>
      <w:pPr>
        <w:rPr>
          <w:rFonts w:ascii="楷体" w:hAnsi="楷体" w:eastAsia="楷体" w:cs="楷体"/>
          <w:sz w:val="21"/>
          <w:szCs w:val="21"/>
        </w:rPr>
      </w:pPr>
      <w:r>
        <w:rPr>
          <w:rFonts w:hint="eastAsia" w:ascii="楷体" w:hAnsi="楷体" w:eastAsia="楷体" w:cs="楷体"/>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hAnsi="楷体" w:eastAsia="楷体" w:cs="楷体"/>
        </w:rPr>
      </w:pPr>
    </w:p>
    <w:p>
      <w:pPr>
        <w:pStyle w:val="2"/>
        <w:ind w:left="0"/>
        <w:rPr>
          <w:rFonts w:ascii="楷体" w:hAnsi="楷体" w:cs="楷体"/>
        </w:rPr>
      </w:pPr>
      <w:r>
        <w:rPr>
          <w:rFonts w:hint="eastAsia" w:ascii="楷体" w:hAnsi="楷体" w:cs="楷体"/>
        </w:rPr>
        <w:t>三、产品投资组合情况</w:t>
      </w:r>
    </w:p>
    <w:p>
      <w:pPr>
        <w:pStyle w:val="2"/>
        <w:rPr>
          <w:rFonts w:ascii="楷体" w:hAnsi="楷体" w:cs="楷体"/>
          <w:b w:val="0"/>
          <w:sz w:val="21"/>
        </w:rPr>
      </w:pPr>
      <w:r>
        <w:rPr>
          <w:rFonts w:hint="eastAsia" w:ascii="楷体" w:hAnsi="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ascii="楷体" w:hAnsi="楷体" w:eastAsia="楷体" w:cs="楷体"/>
                <w:sz w:val="24"/>
                <w:szCs w:val="24"/>
              </w:rPr>
            </w:pPr>
            <w:r>
              <w:rPr>
                <w:rFonts w:hint="eastAsia" w:ascii="楷体" w:hAnsi="楷体" w:eastAsia="楷体" w:cs="楷体"/>
                <w:sz w:val="24"/>
                <w:szCs w:val="24"/>
              </w:rPr>
              <w:t>68.71%</w:t>
            </w:r>
          </w:p>
        </w:tc>
        <w:tc>
          <w:tcPr>
            <w:tcW w:w="2550" w:type="dxa"/>
            <w:vAlign w:val="center"/>
          </w:tcPr>
          <w:p>
            <w:pPr>
              <w:jc w:val="center"/>
              <w:rPr>
                <w:rFonts w:ascii="楷体" w:hAnsi="楷体" w:eastAsia="楷体" w:cs="楷体"/>
                <w:sz w:val="24"/>
                <w:szCs w:val="24"/>
              </w:rPr>
            </w:pPr>
            <w:r>
              <w:rPr>
                <w:rFonts w:hint="eastAsia" w:ascii="楷体" w:hAnsi="楷体" w:eastAsia="楷体" w:cs="楷体"/>
                <w:sz w:val="24"/>
                <w:szCs w:val="24"/>
              </w:rPr>
              <w:t>31.29%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jc w:val="center"/>
              <w:rPr>
                <w:rFonts w:ascii="楷体" w:hAnsi="楷体" w:eastAsia="楷体" w:cs="楷体"/>
                <w:sz w:val="24"/>
                <w:szCs w:val="24"/>
              </w:rPr>
            </w:pPr>
            <w:r>
              <w:rPr>
                <w:rFonts w:hint="eastAsia" w:ascii="楷体" w:hAnsi="楷体" w:eastAsia="楷体" w:cs="楷体"/>
                <w:sz w:val="24"/>
                <w:szCs w:val="24"/>
              </w:rPr>
              <w:t>合计</w:t>
            </w:r>
          </w:p>
        </w:tc>
        <w:tc>
          <w:tcPr>
            <w:tcW w:w="2610" w:type="dxa"/>
            <w:shd w:val="clear" w:color="auto" w:fill="auto"/>
            <w:vAlign w:val="center"/>
          </w:tcPr>
          <w:p>
            <w:pPr>
              <w:jc w:val="center"/>
              <w:rPr>
                <w:rFonts w:ascii="楷体" w:hAnsi="楷体" w:eastAsia="楷体" w:cs="楷体"/>
                <w:sz w:val="24"/>
                <w:szCs w:val="24"/>
              </w:rPr>
            </w:pPr>
            <w:r>
              <w:rPr>
                <w:rFonts w:hint="eastAsia" w:ascii="楷体" w:hAnsi="楷体" w:eastAsia="楷体" w:cs="楷体"/>
                <w:sz w:val="24"/>
                <w:szCs w:val="24"/>
              </w:rPr>
              <w:t>68.71%</w:t>
            </w:r>
          </w:p>
        </w:tc>
        <w:tc>
          <w:tcPr>
            <w:tcW w:w="2550" w:type="dxa"/>
            <w:shd w:val="clear" w:color="auto" w:fill="FFFFFF"/>
            <w:vAlign w:val="center"/>
          </w:tcPr>
          <w:p>
            <w:pPr>
              <w:jc w:val="center"/>
              <w:rPr>
                <w:rFonts w:ascii="楷体" w:hAnsi="楷体" w:eastAsia="楷体" w:cs="楷体"/>
                <w:sz w:val="24"/>
                <w:szCs w:val="24"/>
              </w:rPr>
            </w:pPr>
            <w:r>
              <w:rPr>
                <w:rFonts w:hint="eastAsia" w:ascii="楷体" w:hAnsi="楷体" w:eastAsia="楷体" w:cs="楷体"/>
                <w:sz w:val="24"/>
                <w:szCs w:val="24"/>
              </w:rPr>
              <w:t>31.29%</w:t>
            </w:r>
          </w:p>
        </w:tc>
      </w:tr>
    </w:tbl>
    <w:p>
      <w:pPr>
        <w:rPr>
          <w:rFonts w:ascii="楷体" w:hAnsi="楷体" w:eastAsia="楷体" w:cs="楷体"/>
        </w:rPr>
      </w:pPr>
    </w:p>
    <w:p>
      <w:pPr>
        <w:pStyle w:val="2"/>
        <w:ind w:left="0"/>
        <w:rPr>
          <w:rFonts w:ascii="楷体" w:hAnsi="楷体" w:cs="楷体"/>
          <w:b w:val="0"/>
          <w:sz w:val="21"/>
        </w:rPr>
      </w:pPr>
      <w:r>
        <w:rPr>
          <w:rFonts w:hint="eastAsia" w:ascii="楷体" w:hAnsi="楷体" w:cs="楷体"/>
          <w:b w:val="0"/>
          <w:sz w:val="21"/>
        </w:rPr>
        <w:t>（二）期末理财产品持有的前十项资产</w:t>
      </w:r>
    </w:p>
    <w:tbl>
      <w:tblPr>
        <w:tblStyle w:val="9"/>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jc w:val="center"/>
              <w:rPr>
                <w:rFonts w:ascii="楷体" w:hAnsi="楷体" w:eastAsia="楷体" w:cs="楷体"/>
                <w:sz w:val="22"/>
              </w:rPr>
            </w:pPr>
            <w:r>
              <w:rPr>
                <w:rFonts w:hint="eastAsia" w:ascii="楷体" w:hAnsi="楷体" w:eastAsia="楷体" w:cs="楷体"/>
                <w:sz w:val="22"/>
              </w:rPr>
              <w:t>1</w:t>
            </w:r>
          </w:p>
        </w:tc>
        <w:tc>
          <w:tcPr>
            <w:tcW w:w="2434" w:type="dxa"/>
            <w:vAlign w:val="center"/>
          </w:tcPr>
          <w:p>
            <w:pPr>
              <w:jc w:val="center"/>
              <w:rPr>
                <w:rFonts w:ascii="楷体" w:hAnsi="楷体" w:eastAsia="楷体" w:cs="楷体"/>
                <w:sz w:val="22"/>
              </w:rPr>
            </w:pPr>
            <w:r>
              <w:rPr>
                <w:rFonts w:hint="eastAsia" w:ascii="楷体" w:hAnsi="楷体" w:eastAsia="楷体" w:cs="楷体"/>
                <w:sz w:val="22"/>
              </w:rPr>
              <w:t>现金及银行存款</w:t>
            </w:r>
          </w:p>
        </w:tc>
        <w:tc>
          <w:tcPr>
            <w:tcW w:w="1275" w:type="dxa"/>
            <w:vAlign w:val="center"/>
          </w:tcPr>
          <w:p>
            <w:pPr>
              <w:jc w:val="center"/>
              <w:rPr>
                <w:rFonts w:ascii="楷体" w:hAnsi="楷体" w:eastAsia="楷体" w:cs="楷体"/>
                <w:sz w:val="22"/>
              </w:rPr>
            </w:pPr>
            <w:r>
              <w:rPr>
                <w:rFonts w:hint="eastAsia" w:ascii="楷体" w:hAnsi="楷体" w:eastAsia="楷体" w:cs="楷体"/>
                <w:sz w:val="22"/>
              </w:rPr>
              <w:t>现金及银行存款</w:t>
            </w:r>
          </w:p>
        </w:tc>
        <w:tc>
          <w:tcPr>
            <w:tcW w:w="2235" w:type="dxa"/>
            <w:vAlign w:val="center"/>
          </w:tcPr>
          <w:p>
            <w:pPr>
              <w:jc w:val="center"/>
              <w:rPr>
                <w:rFonts w:ascii="楷体" w:hAnsi="楷体" w:eastAsia="楷体" w:cs="楷体"/>
                <w:sz w:val="22"/>
              </w:rPr>
            </w:pPr>
            <w:r>
              <w:rPr>
                <w:rFonts w:hint="eastAsia" w:ascii="楷体" w:hAnsi="楷体" w:eastAsia="楷体" w:cs="楷体"/>
                <w:sz w:val="22"/>
              </w:rPr>
              <w:t>735,472,545.08</w:t>
            </w:r>
          </w:p>
        </w:tc>
        <w:tc>
          <w:tcPr>
            <w:tcW w:w="1800" w:type="dxa"/>
            <w:vAlign w:val="center"/>
          </w:tcPr>
          <w:p>
            <w:pPr>
              <w:jc w:val="center"/>
              <w:rPr>
                <w:rFonts w:ascii="楷体" w:hAnsi="楷体" w:eastAsia="楷体" w:cs="楷体"/>
                <w:sz w:val="22"/>
              </w:rPr>
            </w:pPr>
            <w:r>
              <w:rPr>
                <w:rFonts w:hint="eastAsia" w:ascii="楷体" w:hAnsi="楷体" w:eastAsia="楷体" w:cs="楷体"/>
                <w:sz w:val="22"/>
              </w:rPr>
              <w:t>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24光大银行CD169</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298,855,182.29</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24农发清发02</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201,905,327.90</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24光大银行CD143</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199,758,658.14</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24兴业银行CD207</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199,758,645.25</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25广发银行CD036</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198,549,339.72</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25北京银行CD095</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196,796,327.45</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25平安银行CD035</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147,942,078.86</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122,164,166.91</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25北京农商银行CD113</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111,116,878.78</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1.07%</w:t>
            </w:r>
          </w:p>
        </w:tc>
      </w:tr>
    </w:tbl>
    <w:p>
      <w:pPr>
        <w:pStyle w:val="14"/>
        <w:rPr>
          <w:rFonts w:ascii="楷体" w:hAnsi="楷体" w:cs="楷体"/>
        </w:rPr>
      </w:pPr>
    </w:p>
    <w:p>
      <w:pPr>
        <w:pStyle w:val="2"/>
        <w:numPr>
          <w:ilvl w:val="0"/>
          <w:numId w:val="1"/>
        </w:numPr>
        <w:rPr>
          <w:rFonts w:ascii="楷体" w:hAnsi="楷体" w:cs="楷体"/>
          <w:b w:val="0"/>
          <w:sz w:val="21"/>
        </w:rPr>
      </w:pPr>
      <w:r>
        <w:rPr>
          <w:rFonts w:hint="eastAsia" w:ascii="楷体" w:hAnsi="楷体" w:cs="楷体"/>
          <w:b w:val="0"/>
          <w:sz w:val="21"/>
        </w:rPr>
        <w:t>非标资产情况</w:t>
      </w:r>
    </w:p>
    <w:p>
      <w:pPr>
        <w:ind w:firstLine="220" w:firstLineChars="100"/>
        <w:rPr>
          <w:rFonts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r>
    </w:tbl>
    <w:p>
      <w:pPr>
        <w:pStyle w:val="14"/>
        <w:rPr>
          <w:rFonts w:ascii="楷体" w:hAnsi="楷体" w:cs="楷体"/>
        </w:rPr>
      </w:pPr>
    </w:p>
    <w:p>
      <w:pPr>
        <w:spacing w:line="320" w:lineRule="exact"/>
        <w:ind w:firstLine="220" w:firstLineChars="100"/>
        <w:rPr>
          <w:rFonts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r>
    </w:tbl>
    <w:p>
      <w:pPr>
        <w:rPr>
          <w:rFonts w:hint="eastAsia" w:ascii="楷体" w:hAnsi="楷体" w:eastAsia="楷体"/>
        </w:rPr>
      </w:pPr>
    </w:p>
    <w:p>
      <w:pPr>
        <w:rPr>
          <w:rFonts w:ascii="楷体" w:hAnsi="楷体" w:eastAsia="楷体"/>
          <w:sz w:val="21"/>
          <w:szCs w:val="21"/>
        </w:rPr>
      </w:pPr>
      <w:r>
        <w:rPr>
          <w:rFonts w:hint="eastAsia" w:ascii="楷体" w:hAnsi="楷体" w:eastAsia="楷体"/>
          <w:sz w:val="21"/>
          <w:szCs w:val="21"/>
        </w:rPr>
        <w:t>（四）期末理财产品前十名投资者持有情况</w:t>
      </w:r>
    </w:p>
    <w:tbl>
      <w:tblPr>
        <w:tblStyle w:val="10"/>
        <w:tblW w:w="8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1"/>
        <w:gridCol w:w="1815"/>
        <w:gridCol w:w="3510"/>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序号</w:t>
            </w:r>
          </w:p>
        </w:tc>
        <w:tc>
          <w:tcPr>
            <w:tcW w:w="1815"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投资者类别</w:t>
            </w:r>
          </w:p>
        </w:tc>
        <w:tc>
          <w:tcPr>
            <w:tcW w:w="3510"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期末持有份额</w:t>
            </w:r>
          </w:p>
        </w:tc>
        <w:tc>
          <w:tcPr>
            <w:tcW w:w="1695"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份额占比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1</w:t>
            </w:r>
          </w:p>
        </w:tc>
        <w:tc>
          <w:tcPr>
            <w:tcW w:w="1815"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机构</w:t>
            </w:r>
          </w:p>
        </w:tc>
        <w:tc>
          <w:tcPr>
            <w:tcW w:w="3510"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704,729,105.68</w:t>
            </w:r>
          </w:p>
        </w:tc>
        <w:tc>
          <w:tcPr>
            <w:tcW w:w="1695"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401,187,584.56</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300,043,801.82</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200,759,538.53</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160,674,353.37</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100,088,101.81</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50,011,416.24</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50,006,724.97</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个人</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36,172,073.07</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30,000,000.00</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0.29%</w:t>
            </w:r>
          </w:p>
        </w:tc>
      </w:tr>
    </w:tbl>
    <w:p>
      <w:pPr>
        <w:pStyle w:val="14"/>
        <w:rPr>
          <w:rFonts w:ascii="楷体" w:hAnsi="楷体" w:cs="楷体"/>
        </w:rPr>
      </w:pPr>
    </w:p>
    <w:p>
      <w:pPr>
        <w:pStyle w:val="2"/>
        <w:rPr>
          <w:rFonts w:ascii="楷体" w:hAnsi="楷体" w:cs="楷体"/>
          <w:b w:val="0"/>
          <w:sz w:val="21"/>
        </w:rPr>
      </w:pPr>
      <w:r>
        <w:rPr>
          <w:rFonts w:hint="eastAsia" w:ascii="楷体" w:hAnsi="楷体" w:cs="楷体"/>
          <w:b w:val="0"/>
          <w:sz w:val="21"/>
        </w:rPr>
        <w:t>（</w:t>
      </w:r>
      <w:r>
        <w:rPr>
          <w:rFonts w:hint="eastAsia" w:ascii="楷体" w:hAnsi="楷体" w:cs="楷体"/>
          <w:b w:val="0"/>
          <w:sz w:val="21"/>
          <w:lang w:eastAsia="zh-CN"/>
        </w:rPr>
        <w:t>五</w:t>
      </w:r>
      <w:r>
        <w:rPr>
          <w:rFonts w:hint="eastAsia" w:ascii="楷体" w:hAnsi="楷体" w:cs="楷体"/>
          <w:b w:val="0"/>
          <w:sz w:val="21"/>
        </w:rPr>
        <w:t>）关联交易情况</w:t>
      </w:r>
    </w:p>
    <w:p>
      <w:pPr>
        <w:spacing w:line="320" w:lineRule="exact"/>
        <w:ind w:firstLine="220" w:firstLineChars="100"/>
        <w:rPr>
          <w:rFonts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rPr>
          <w:rFonts w:ascii="楷体" w:hAnsi="楷体" w:eastAsia="楷体" w:cs="楷体"/>
        </w:rPr>
      </w:pPr>
    </w:p>
    <w:p>
      <w:pPr>
        <w:ind w:firstLine="220" w:firstLineChars="100"/>
        <w:rPr>
          <w:rFonts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50"/>
        <w:gridCol w:w="1455"/>
        <w:gridCol w:w="1425"/>
        <w:gridCol w:w="2100"/>
        <w:gridCol w:w="2191"/>
      </w:tblGrid>
      <w:tr>
        <w:tblPrEx>
          <w:tblCellMar>
            <w:top w:w="0" w:type="dxa"/>
            <w:left w:w="108" w:type="dxa"/>
            <w:bottom w:w="0" w:type="dxa"/>
            <w:right w:w="108" w:type="dxa"/>
          </w:tblCellMar>
        </w:tblPrEx>
        <w:trPr>
          <w:trHeight w:val="283" w:hRule="atLeast"/>
        </w:trPr>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证券简称</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5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江苏银行股份有限公司</w:t>
            </w:r>
          </w:p>
        </w:tc>
        <w:tc>
          <w:tcPr>
            <w:tcW w:w="145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082580530.IB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25华发优生活6ABN002优先</w:t>
            </w:r>
          </w:p>
        </w:tc>
        <w:tc>
          <w:tcPr>
            <w:tcW w:w="210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400,000.00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40,000,000.00</w:t>
            </w:r>
          </w:p>
        </w:tc>
      </w:tr>
    </w:tbl>
    <w:p>
      <w:pPr>
        <w:rPr>
          <w:rFonts w:ascii="楷体" w:hAnsi="楷体" w:eastAsia="楷体" w:cs="楷体"/>
        </w:rPr>
      </w:pPr>
    </w:p>
    <w:p>
      <w:pPr>
        <w:numPr>
          <w:ilvl w:val="0"/>
          <w:numId w:val="2"/>
        </w:numPr>
        <w:ind w:firstLine="220" w:firstLineChars="100"/>
        <w:rPr>
          <w:rFonts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50"/>
        <w:gridCol w:w="1455"/>
        <w:gridCol w:w="1425"/>
        <w:gridCol w:w="2115"/>
        <w:gridCol w:w="2176"/>
      </w:tblGrid>
      <w:tr>
        <w:tblPrEx>
          <w:tblCellMar>
            <w:top w:w="0" w:type="dxa"/>
            <w:left w:w="108" w:type="dxa"/>
            <w:bottom w:w="0" w:type="dxa"/>
            <w:right w:w="108" w:type="dxa"/>
          </w:tblCellMar>
        </w:tblPrEx>
        <w:trPr>
          <w:trHeight w:val="283" w:hRule="atLeast"/>
        </w:trPr>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金融工具代码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金融工具名称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5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5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rPr>
          <w:rFonts w:ascii="楷体" w:hAnsi="楷体" w:eastAsia="楷体" w:cs="楷体"/>
          <w:sz w:val="22"/>
          <w:szCs w:val="24"/>
        </w:rPr>
      </w:pPr>
    </w:p>
    <w:p>
      <w:pPr>
        <w:numPr>
          <w:ilvl w:val="0"/>
          <w:numId w:val="2"/>
        </w:numPr>
        <w:ind w:firstLine="220" w:firstLineChars="100"/>
        <w:rPr>
          <w:rFonts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15"/>
        <w:gridCol w:w="3540"/>
        <w:gridCol w:w="3166"/>
      </w:tblGrid>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东吴证券股份有限公司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4,205,351,304.70</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1,689,377.57</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1,100,685.87</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708,700,000.00</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华泰证券(上海)资产管理有限公司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28,000,000.00</w:t>
            </w:r>
          </w:p>
        </w:tc>
      </w:tr>
    </w:tbl>
    <w:p>
      <w:pPr>
        <w:pStyle w:val="14"/>
        <w:rPr>
          <w:rFonts w:hint="eastAsia" w:ascii="楷体" w:hAnsi="楷体" w:cs="楷体"/>
          <w:sz w:val="21"/>
          <w:szCs w:val="21"/>
        </w:rPr>
      </w:pPr>
      <w:r>
        <w:rPr>
          <w:rFonts w:hint="eastAsia" w:ascii="楷体" w:hAnsi="楷体" w:cs="楷体"/>
          <w:sz w:val="21"/>
          <w:szCs w:val="21"/>
        </w:rPr>
        <w:t>注：本报告中理财产品托管费、代销费、直销费均基于产品实际支付金额进行统计。</w:t>
      </w:r>
    </w:p>
    <w:p>
      <w:pPr>
        <w:pStyle w:val="14"/>
        <w:rPr>
          <w:rFonts w:hint="eastAsia" w:ascii="楷体" w:hAnsi="楷体" w:cs="楷体"/>
          <w:sz w:val="21"/>
          <w:szCs w:val="21"/>
        </w:rPr>
      </w:pPr>
    </w:p>
    <w:p>
      <w:pPr>
        <w:rPr>
          <w:rFonts w:ascii="楷体" w:hAnsi="楷体" w:eastAsia="楷体" w:cs="楷体"/>
          <w:sz w:val="22"/>
          <w:szCs w:val="24"/>
        </w:rPr>
      </w:pPr>
      <w:r>
        <w:rPr>
          <w:rFonts w:hint="eastAsia" w:ascii="楷体" w:hAnsi="楷体" w:eastAsia="楷体" w:cs="楷体"/>
          <w:sz w:val="22"/>
          <w:szCs w:val="24"/>
        </w:rPr>
        <w:t>（</w:t>
      </w:r>
      <w:r>
        <w:rPr>
          <w:rFonts w:hint="eastAsia" w:ascii="楷体" w:hAnsi="楷体" w:eastAsia="楷体" w:cs="楷体"/>
          <w:sz w:val="22"/>
          <w:szCs w:val="24"/>
          <w:lang w:eastAsia="zh-CN"/>
        </w:rPr>
        <w:t>六</w:t>
      </w:r>
      <w:r>
        <w:rPr>
          <w:rFonts w:hint="eastAsia" w:ascii="楷体" w:hAnsi="楷体" w:eastAsia="楷体" w:cs="楷体"/>
          <w:sz w:val="22"/>
          <w:szCs w:val="24"/>
        </w:rPr>
        <w:t>）自有资金投资情况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ind w:firstLine="420" w:firstLineChars="200"/>
        <w:rPr>
          <w:rFonts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ascii="楷体" w:hAnsi="楷体" w:eastAsia="楷体" w:cs="楷体"/>
          <w:bCs/>
          <w:kern w:val="0"/>
          <w:szCs w:val="21"/>
        </w:rPr>
      </w:pPr>
    </w:p>
    <w:p>
      <w:pPr>
        <w:rPr>
          <w:rFonts w:ascii="楷体" w:hAnsi="楷体" w:eastAsia="楷体" w:cs="楷体"/>
          <w:sz w:val="22"/>
          <w:szCs w:val="24"/>
        </w:rPr>
      </w:pPr>
      <w:r>
        <w:rPr>
          <w:rFonts w:hint="eastAsia" w:ascii="楷体" w:hAnsi="楷体" w:eastAsia="楷体" w:cs="楷体"/>
          <w:sz w:val="22"/>
          <w:szCs w:val="24"/>
        </w:rPr>
        <w:t>（</w:t>
      </w:r>
      <w:r>
        <w:rPr>
          <w:rFonts w:hint="eastAsia" w:ascii="楷体" w:hAnsi="楷体" w:eastAsia="楷体" w:cs="楷体"/>
          <w:sz w:val="22"/>
          <w:szCs w:val="24"/>
          <w:lang w:eastAsia="zh-CN"/>
        </w:rPr>
        <w:t>七</w:t>
      </w:r>
      <w:r>
        <w:rPr>
          <w:rFonts w:hint="eastAsia" w:ascii="楷体" w:hAnsi="楷体" w:eastAsia="楷体" w:cs="楷体"/>
          <w:sz w:val="22"/>
          <w:szCs w:val="24"/>
        </w:rPr>
        <w:t>）理财产品份额变动情况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ascii="楷体" w:hAnsi="楷体" w:eastAsia="楷体" w:cs="楷体"/>
                <w:sz w:val="22"/>
              </w:rPr>
            </w:pPr>
            <w:r>
              <w:rPr>
                <w:rFonts w:hint="eastAsia" w:ascii="楷体" w:hAnsi="楷体" w:eastAsia="楷体" w:cs="楷体"/>
                <w:sz w:val="22"/>
              </w:rPr>
              <w:t>10,186,606,650.35</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12,941,061,316.01</w:t>
            </w:r>
          </w:p>
        </w:tc>
      </w:tr>
    </w:tbl>
    <w:p>
      <w:pPr>
        <w:pStyle w:val="2"/>
        <w:ind w:left="0" w:leftChars="0" w:firstLine="0" w:firstLineChars="0"/>
        <w:rPr>
          <w:rFonts w:ascii="楷体" w:hAnsi="楷体" w:cs="楷体"/>
        </w:rPr>
      </w:pPr>
    </w:p>
    <w:p>
      <w:pPr>
        <w:pStyle w:val="2"/>
        <w:rPr>
          <w:rFonts w:ascii="楷体" w:hAnsi="楷体" w:cs="楷体"/>
        </w:rPr>
      </w:pPr>
      <w:r>
        <w:rPr>
          <w:rFonts w:hint="eastAsia" w:ascii="楷体" w:hAnsi="楷体" w:cs="楷体"/>
        </w:rPr>
        <w:t>四</w:t>
      </w:r>
      <w:r>
        <w:rPr>
          <w:rFonts w:hint="eastAsia" w:ascii="楷体" w:hAnsi="楷体" w:cs="楷体"/>
          <w:lang w:eastAsia="zh-CN"/>
        </w:rPr>
        <w:t>、</w:t>
      </w:r>
      <w:r>
        <w:rPr>
          <w:rFonts w:hint="eastAsia" w:ascii="楷体" w:hAnsi="楷体" w:cs="楷体"/>
        </w:rPr>
        <w:t>投资运作情况</w:t>
      </w:r>
    </w:p>
    <w:p>
      <w:pPr>
        <w:pStyle w:val="2"/>
        <w:rPr>
          <w:rFonts w:hint="eastAsia" w:ascii="楷体" w:hAnsi="楷体" w:cs="楷体"/>
          <w:b w:val="0"/>
          <w:sz w:val="21"/>
        </w:rPr>
      </w:pPr>
      <w:r>
        <w:rPr>
          <w:rFonts w:hint="eastAsia" w:ascii="楷体" w:hAnsi="楷体" w:cs="楷体"/>
          <w:b w:val="0"/>
          <w:sz w:val="21"/>
        </w:rPr>
        <w:t>1、运作期回顾</w:t>
      </w:r>
    </w:p>
    <w:p>
      <w:pPr>
        <w:pStyle w:val="2"/>
        <w:ind w:firstLine="420" w:firstLineChars="200"/>
        <w:rPr>
          <w:rFonts w:hint="eastAsia" w:ascii="楷体" w:hAnsi="楷体" w:cs="楷体"/>
          <w:b w:val="0"/>
          <w:sz w:val="21"/>
        </w:rPr>
      </w:pPr>
      <w:r>
        <w:rPr>
          <w:rFonts w:hint="eastAsia" w:ascii="楷体" w:hAnsi="楷体" w:cs="楷体"/>
          <w:b w:val="0"/>
          <w:sz w:val="21"/>
        </w:rPr>
        <w:t>2025年上半年，在党中央的坚强领导下，面对外部冲击明显加大，国内经济顶住压力平稳增长，各地区各部门深入贯彻党中央、国务院的决策部署，坚持稳中求进，宏观稳经济政策协同发力，国民经济稳中向好。</w:t>
      </w:r>
    </w:p>
    <w:p>
      <w:pPr>
        <w:pStyle w:val="2"/>
        <w:ind w:firstLine="420" w:firstLineChars="200"/>
        <w:rPr>
          <w:rFonts w:hint="eastAsia" w:ascii="楷体" w:hAnsi="楷体" w:cs="楷体"/>
          <w:b w:val="0"/>
          <w:sz w:val="21"/>
        </w:rPr>
      </w:pPr>
      <w:r>
        <w:rPr>
          <w:rFonts w:hint="eastAsia" w:ascii="楷体" w:hAnsi="楷体" w:cs="楷体"/>
          <w:b w:val="0"/>
          <w:sz w:val="21"/>
        </w:rPr>
        <w:t>从经济基本面看，上半年国内生产总值同比增长5.3%，二季度增长5.2%。总体上，上半年国民经济迎难而上、稳中向好。上半年全国固定资产投资（不含农户）同比增长2.8%，社会消费品零售总额同比增长5.0%，规模以上工业增加值同比增长6.4%。整体来看，GDP增速反映出我国宏观基本面延续较好表现，显示经济持续增长动力强劲，工业增加值增速超预期，说明中国经济在复杂严峻的外部环境和挑战下，有能力保持平稳增长的态势。同时，投资和消费表现稍显疲弱，房地产开发投资自2月以来持续回落，降幅连月扩大。总体而言，我国经济年内达成增长目标压力不大，但在需求端仍将面临考验。</w:t>
      </w:r>
    </w:p>
    <w:p>
      <w:pPr>
        <w:pStyle w:val="2"/>
        <w:ind w:firstLine="420" w:firstLineChars="200"/>
        <w:rPr>
          <w:rFonts w:hint="eastAsia" w:ascii="楷体" w:hAnsi="楷体" w:cs="楷体"/>
          <w:b w:val="0"/>
          <w:sz w:val="21"/>
        </w:rPr>
      </w:pPr>
      <w:r>
        <w:rPr>
          <w:rFonts w:hint="eastAsia" w:ascii="楷体" w:hAnsi="楷体" w:cs="楷体"/>
          <w:b w:val="0"/>
          <w:sz w:val="21"/>
        </w:rPr>
        <w:t>债券市场方面，一季度债市收益率明显上行。年初至春节，债市收益率呈现先下后上的态势，年初部分踏空资金入场，随后央行暂停国债买入等操作使得市场情绪转向谨慎，同时央行利用月中MLF到期、税期、春节前取现需求增加资金缺口放大的窗口引导资金收紧，短端出现明显调整压力，10年期收益率明显上行；春节后至3月中旬，同业存款外流影响持续，同时Deepseek、人形机器人等概念在春节后形成主题热点，叠加两会定调偏积极，权益市场迎来上涨行情，收益率调整由短及长并触发赎回潮，10年期国债上行27BP至1.90%；3月中旬至3月底，税期、季末央行公开市场投放偏积极，资金价格边际持稳，MLF转为净投放，宽货币预期叠加权益市场动能转弱，10年期国债收益率下行8BP至1.81%。在经历了一季度的调整之后，二季度债市表现好于一季度，一方面是资金面整体更加宽松，另一方面外部关税扰动加剧、国内基本面数据偏弱、机构配置力量强化，多重因素推动债市收益率整体震荡下行。4月初，中美关税博弈深化，外需压力与避险情绪共同推升宽货币预期，触发债市普涨；5月降息落地后，债市以波动为主，上下空间进一步缩窄；6月延续5月行情，收益率震荡下行，但在月底的股债跷跷板效应以及险资调仓的影响下，出现小幅上行。</w:t>
      </w:r>
    </w:p>
    <w:p>
      <w:pPr>
        <w:pStyle w:val="2"/>
        <w:ind w:firstLine="420" w:firstLineChars="200"/>
        <w:rPr>
          <w:rFonts w:hint="eastAsia" w:ascii="楷体" w:hAnsi="楷体" w:cs="楷体"/>
          <w:b w:val="0"/>
          <w:sz w:val="21"/>
        </w:rPr>
      </w:pPr>
      <w:r>
        <w:rPr>
          <w:rFonts w:hint="eastAsia" w:ascii="楷体" w:hAnsi="楷体" w:cs="楷体"/>
          <w:b w:val="0"/>
          <w:sz w:val="21"/>
        </w:rPr>
        <w:t>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二季度市场利率的下行，管理人积极调整投资策略，通过上季度和季初提前锁定收益并把握市场机会，增配了一二级信用债。另一方面，针对季末资金利率季节性上升特点，产品在季末提高了高价存款和回购的配置比例，这一策略有效提升了产品的静态收益，为投资者提供了相对稳定的回报，帮助其应对市场的不确定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ind w:firstLine="420" w:firstLineChars="200"/>
        <w:rPr>
          <w:rFonts w:hint="eastAsia" w:ascii="楷体" w:hAnsi="楷体" w:eastAsia="楷体" w:cs="楷体"/>
          <w:sz w:val="21"/>
          <w:szCs w:val="21"/>
        </w:rPr>
      </w:pPr>
    </w:p>
    <w:p>
      <w:pPr>
        <w:pStyle w:val="2"/>
        <w:rPr>
          <w:rFonts w:ascii="楷体" w:hAnsi="楷体" w:cs="楷体"/>
          <w:b w:val="0"/>
          <w:sz w:val="21"/>
        </w:rPr>
      </w:pPr>
      <w:r>
        <w:rPr>
          <w:rFonts w:hint="eastAsia" w:ascii="楷体" w:hAnsi="楷体" w:cs="楷体"/>
          <w:b w:val="0"/>
          <w:sz w:val="21"/>
        </w:rPr>
        <w:t>2、后市展望及下阶段投资策略</w:t>
      </w:r>
    </w:p>
    <w:p>
      <w:pPr>
        <w:pStyle w:val="2"/>
        <w:ind w:firstLine="420" w:firstLineChars="200"/>
        <w:rPr>
          <w:rFonts w:hint="eastAsia" w:ascii="楷体" w:hAnsi="楷体" w:cs="楷体"/>
          <w:b w:val="0"/>
          <w:sz w:val="21"/>
        </w:rPr>
      </w:pPr>
      <w:r>
        <w:rPr>
          <w:rFonts w:hint="eastAsia" w:ascii="楷体" w:hAnsi="楷体" w:cs="楷体"/>
          <w:b w:val="0"/>
          <w:sz w:val="21"/>
        </w:rPr>
        <w:t>展望2025年三季度，虽然二季度经济数据总量改善，但需求端表现仍显疲软，同时在外部高度不确定性下，中期基本面压力仍大，总量政策对冲的必要性将进一步增加，货币政策下半年仍有加码空间，资金面大概率延续宽松态势。因此，三季度仍然处于利率下行周期，债市收益率存在一定下行空间，可择机适当布局。</w:t>
      </w:r>
    </w:p>
    <w:p>
      <w:pPr>
        <w:pStyle w:val="2"/>
        <w:ind w:firstLine="420" w:firstLineChars="200"/>
        <w:rPr>
          <w:rFonts w:hint="eastAsia" w:ascii="楷体" w:hAnsi="楷体" w:cs="楷体"/>
          <w:b w:val="0"/>
          <w:sz w:val="21"/>
          <w:lang w:eastAsia="zh-CN"/>
        </w:rPr>
      </w:pPr>
      <w:r>
        <w:rPr>
          <w:rFonts w:hint="eastAsia" w:ascii="楷体" w:hAnsi="楷体" w:cs="楷体"/>
          <w:b w:val="0"/>
          <w:sz w:val="21"/>
        </w:rPr>
        <w:t>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r>
        <w:rPr>
          <w:rFonts w:hint="eastAsia" w:ascii="楷体" w:hAnsi="楷体" w:cs="楷体"/>
          <w:b w:val="0"/>
          <w:sz w:val="21"/>
          <w:lang w:eastAsia="zh-CN"/>
        </w:rPr>
        <w:t>。</w:t>
      </w:r>
    </w:p>
    <w:p>
      <w:pPr>
        <w:ind w:firstLine="420" w:firstLineChars="200"/>
        <w:rPr>
          <w:rFonts w:hint="eastAsia" w:ascii="楷体" w:hAnsi="楷体" w:eastAsia="楷体" w:cs="楷体"/>
          <w:sz w:val="21"/>
          <w:szCs w:val="21"/>
          <w:lang w:eastAsia="zh-CN"/>
        </w:rPr>
      </w:pPr>
    </w:p>
    <w:p>
      <w:pPr>
        <w:pStyle w:val="2"/>
        <w:rPr>
          <w:rFonts w:ascii="楷体" w:hAnsi="楷体" w:cs="楷体"/>
          <w:b w:val="0"/>
          <w:sz w:val="21"/>
        </w:rPr>
      </w:pPr>
      <w:r>
        <w:rPr>
          <w:rFonts w:hint="eastAsia" w:ascii="楷体" w:hAnsi="楷体" w:cs="楷体"/>
          <w:b w:val="0"/>
          <w:sz w:val="21"/>
        </w:rPr>
        <w:t>3、流动性风险分析</w:t>
      </w:r>
    </w:p>
    <w:p>
      <w:pPr>
        <w:pStyle w:val="2"/>
        <w:ind w:firstLine="420" w:firstLineChars="200"/>
        <w:rPr>
          <w:rFonts w:hint="eastAsia" w:ascii="楷体" w:hAnsi="楷体" w:cs="楷体"/>
          <w:b w:val="0"/>
          <w:sz w:val="21"/>
        </w:rPr>
      </w:pPr>
      <w:r>
        <w:rPr>
          <w:rFonts w:hint="eastAsia" w:ascii="楷体" w:hAnsi="楷体" w:cs="楷体"/>
          <w:b w:val="0"/>
          <w:sz w:val="21"/>
        </w:rPr>
        <w:t>2025年</w:t>
      </w:r>
      <w:r>
        <w:rPr>
          <w:rFonts w:hint="eastAsia" w:ascii="楷体" w:hAnsi="楷体" w:cs="楷体"/>
          <w:b w:val="0"/>
          <w:sz w:val="21"/>
          <w:lang w:val="en-US" w:eastAsia="zh-CN"/>
        </w:rPr>
        <w:t>上半年</w:t>
      </w:r>
      <w:r>
        <w:rPr>
          <w:rFonts w:hint="eastAsia" w:ascii="楷体" w:hAnsi="楷体" w:cs="楷体"/>
          <w:b w:val="0"/>
          <w:sz w:val="21"/>
        </w:rPr>
        <w:t>，市场流动性整体宽松，本产品在投资高流动性的利率债和AAA存单以外，动态调整产品杠杆率，充分做好资金准备，平稳度过各关键时点，充分满足了产品的流动性需求，保障了投资者的赎回需求。</w:t>
      </w:r>
    </w:p>
    <w:p>
      <w:pPr>
        <w:pStyle w:val="2"/>
        <w:ind w:firstLine="420" w:firstLineChars="200"/>
        <w:rPr>
          <w:rFonts w:hint="eastAsia" w:ascii="楷体" w:hAnsi="楷体" w:cs="楷体"/>
          <w:b w:val="0"/>
          <w:sz w:val="21"/>
        </w:rPr>
      </w:pPr>
      <w:r>
        <w:rPr>
          <w:rFonts w:hint="eastAsia" w:ascii="楷体" w:hAnsi="楷体" w:cs="楷体"/>
          <w:b w:val="0"/>
          <w:sz w:val="21"/>
        </w:rPr>
        <w:t>展望后市，本产品将继续重点投资信用等级较高、流动性较好的各类标的，做好资金安排和流动性预判，充分满足产品流动性需求。</w:t>
      </w:r>
    </w:p>
    <w:p>
      <w:pPr>
        <w:pStyle w:val="2"/>
        <w:ind w:firstLine="420" w:firstLineChars="200"/>
        <w:rPr>
          <w:rFonts w:hint="eastAsia" w:ascii="楷体" w:hAnsi="楷体" w:cs="楷体"/>
          <w:b w:val="0"/>
          <w:sz w:val="21"/>
        </w:rPr>
      </w:pPr>
    </w:p>
    <w:p>
      <w:pPr>
        <w:pStyle w:val="2"/>
        <w:rPr>
          <w:rFonts w:hint="eastAsia" w:ascii="楷体" w:hAnsi="楷体" w:cs="楷体"/>
        </w:rPr>
      </w:pPr>
      <w:r>
        <w:rPr>
          <w:rFonts w:hint="eastAsia" w:ascii="楷体" w:hAnsi="楷体" w:cs="楷体"/>
        </w:rPr>
        <w:t>五</w:t>
      </w:r>
      <w:r>
        <w:rPr>
          <w:rFonts w:hint="eastAsia" w:ascii="楷体" w:hAnsi="楷体" w:cs="楷体"/>
          <w:lang w:eastAsia="zh-CN"/>
        </w:rPr>
        <w:t>、</w:t>
      </w:r>
      <w:r>
        <w:rPr>
          <w:rFonts w:hint="eastAsia" w:ascii="楷体" w:hAnsi="楷体" w:cs="楷体"/>
        </w:rPr>
        <w:t>托管人报告</w:t>
      </w:r>
    </w:p>
    <w:p>
      <w:pPr>
        <w:pStyle w:val="2"/>
        <w:ind w:firstLine="420" w:firstLineChars="200"/>
        <w:rPr>
          <w:rFonts w:hint="eastAsia" w:ascii="楷体" w:hAnsi="楷体" w:cs="楷体"/>
          <w:b w:val="0"/>
          <w:sz w:val="21"/>
        </w:rPr>
      </w:pPr>
      <w:r>
        <w:rPr>
          <w:rFonts w:hint="eastAsia" w:ascii="楷体" w:hAnsi="楷体" w:cs="楷体"/>
          <w:b w:val="0"/>
          <w:sz w:val="21"/>
        </w:rPr>
        <w:t>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ind w:firstLine="560" w:firstLineChars="200"/>
        <w:rPr>
          <w:rFonts w:ascii="楷体" w:hAnsi="楷体" w:eastAsia="楷体" w:cs="楷体"/>
          <w:bCs/>
          <w:kern w:val="0"/>
          <w:szCs w:val="21"/>
        </w:rPr>
      </w:pPr>
      <w:bookmarkStart w:id="1" w:name="_GoBack"/>
      <w:bookmarkEnd w:id="1"/>
    </w:p>
    <w:p>
      <w:pPr>
        <w:rPr>
          <w:rFonts w:ascii="楷体" w:hAnsi="楷体" w:eastAsia="楷体" w:cs="楷体"/>
          <w:sz w:val="15"/>
          <w:szCs w:val="15"/>
        </w:rPr>
      </w:pPr>
    </w:p>
    <w:p>
      <w:pPr>
        <w:jc w:val="right"/>
        <w:rPr>
          <w:rFonts w:ascii="楷体" w:hAnsi="楷体" w:eastAsia="楷体" w:cs="楷体"/>
          <w:b/>
          <w:bCs/>
          <w:sz w:val="21"/>
          <w:szCs w:val="21"/>
        </w:rPr>
      </w:pPr>
      <w:r>
        <w:rPr>
          <w:rFonts w:hint="eastAsia" w:ascii="楷体" w:hAnsi="楷体" w:eastAsia="楷体" w:cs="楷体"/>
          <w:b/>
          <w:bCs/>
          <w:sz w:val="21"/>
          <w:szCs w:val="21"/>
        </w:rPr>
        <w:t>苏银理财有限责任公司</w:t>
      </w:r>
    </w:p>
    <w:p>
      <w:pPr>
        <w:jc w:val="right"/>
        <w:rPr>
          <w:rFonts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4098"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4099"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4100"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B5D9F5"/>
    <w:multiLevelType w:val="singleLevel"/>
    <w:tmpl w:val="F4B5D9F5"/>
    <w:lvl w:ilvl="0" w:tentative="0">
      <w:start w:val="3"/>
      <w:numFmt w:val="chineseCounting"/>
      <w:suff w:val="nothing"/>
      <w:lvlText w:val="（%1）"/>
      <w:lvlJc w:val="left"/>
      <w:rPr>
        <w:rFonts w:hint="eastAsia"/>
      </w:rPr>
    </w:lvl>
  </w:abstractNum>
  <w:abstractNum w:abstractNumId="1">
    <w:nsid w:val="2470EC97"/>
    <w:multiLevelType w:val="singleLevel"/>
    <w:tmpl w:val="2470EC97"/>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04CC2961"/>
    <w:rsid w:val="1EF463AB"/>
    <w:rsid w:val="44F139EE"/>
    <w:rsid w:val="7F964CF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2025-07-22T07:56:16Z</dcterms:modified>
  <cp:revision>29</cp:revision>
  <dc:title>“${prdInfo.PRD_NAME}”理财产品</dc:title>
</cp:core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1</TotalTime>
  <ScaleCrop>false</ScaleCrop>
  <LinksUpToDate>false</LinksUpToDate>
  <CharactersWithSpaces>2985</CharactersWithSpaces>
  <Application>WPS Office_10.8.2.7119_F1E327BC-269C-435d-A152-05C5408002CA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163ea5-6661-4d95-992f-7f86812b6203}">
  <ds:schemaRefs/>
</ds:datastoreItem>
</file>

<file path=customXml/itemProps3.xml><?xml version="1.0" encoding="utf-8"?>
<ds:datastoreItem xmlns:ds="http://schemas.openxmlformats.org/officeDocument/2006/customXml" ds:itemID="{bb68e802-66a4-4848-9f59-8289494e6788}">
  <ds:schemaRefs/>
</ds:datastoreItem>
</file>

<file path=customXml/itemProps4.xml><?xml version="1.0" encoding="utf-8"?>
<ds:datastoreItem xmlns:ds="http://schemas.openxmlformats.org/officeDocument/2006/customXml" ds:itemID="{ed26b084-8347-4bd2-a09e-b045d9f34422}">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1</TotalTime>
  <ScaleCrop>false</ScaleCrop>
  <LinksUpToDate>false</LinksUpToDate>
  <CharactersWithSpaces>2985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2025-08-26T07:37:26Z</dcterms:modified>
  <dc:title>_x201C__x0024__x007B_prdInfo.PRD_NAME_x007D__x201D_理财产品</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9CE0309546D542B599ECFF23F3D17DB3</vt:lpwstr>
  </property>
</Properties>
</file>