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苏银理财恒源封闭三年鑫利12期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2025年半年度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苏银理财恒源封闭三年鑫利12期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2024年06月04日</w:t>
      </w:r>
      <w:r>
        <w:rPr>
          <w:rFonts w:ascii="楷体" w:eastAsia="楷体" w:hAnsi="楷体" w:cs="楷体" w:hint="eastAsia"/>
        </w:rPr>
        <w:t xml:space="preserve">成立，于</w:t>
      </w:r>
      <w:r>
        <w:rPr>
          <w:rFonts w:ascii="楷体" w:eastAsia="楷体" w:hAnsi="楷体" w:cs="楷体" w:hint="eastAsia"/>
          <w:spacing w:val="-7"/>
        </w:rPr>
        <w:t xml:space="preserve">2024年06月04日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产品名称</w:t>
            </w:r>
          </w:p>
        </w:tc>
        <w:tc>
          <w:tcPr>
            <w:tcW w:w="3847" w:type="dxa"/>
          </w:tcPr>
          <w:p>
            <w:pPr>
              <w:pStyle w:val="TableText"/>
              <w:spacing w:before="56" w:line="202" w:lineRule="auto"/>
              <w:jc w:val="center"/>
              <w:rPr>
                <w:rFonts w:ascii="楷体" w:eastAsia="楷体" w:hAnsi="楷体" w:cs="楷体" w:hint="eastAsia"/>
                <w:sz w:val="24"/>
                <w:szCs w:val="24"/>
                <w:highlight w:val="yellow"/>
              </w:rPr>
            </w:pPr>
            <w:r>
              <w:rPr>
                <w:rFonts w:ascii="楷体" w:eastAsia="楷体" w:hAnsi="楷体" w:cs="楷体" w:hint="eastAsia"/>
                <w:spacing w:val="-6"/>
                <w:sz w:val="24"/>
                <w:szCs w:val="24"/>
              </w:rPr>
              <w:t xml:space="preserve">苏银理财恒源封闭三年鑫利12期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Z7003124000078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产品运作方式</w:t>
            </w:r>
          </w:p>
        </w:tc>
        <w:tc>
          <w:tcPr>
            <w:tcW w:w="3847" w:type="dxa"/>
          </w:tcPr>
          <w:p>
            <w:pPr>
              <w:pStyle w:val="TableText"/>
              <w:spacing w:before="52" w:line="201" w:lineRule="auto"/>
              <w:jc w:val="center"/>
              <w:rPr>
                <w:rFonts w:ascii="楷体" w:eastAsia="楷体" w:hAnsi="楷体" w:cs="楷体" w:hint="eastAsia"/>
                <w:sz w:val="24"/>
                <w:szCs w:val="24"/>
                <w:highlight w:val="yellow"/>
              </w:rPr>
            </w:pPr>
            <w:r>
              <w:rPr>
                <w:rFonts w:ascii="楷体" w:eastAsia="楷体" w:hAnsi="楷体" w:cs="楷体" w:hint="eastAsia"/>
                <w:spacing w:val="-2"/>
                <w:sz w:val="24"/>
                <w:szCs w:val="24"/>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60,257,735.00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产品资产净值（元）</w:t>
            </w:r>
          </w:p>
        </w:tc>
        <w:tc>
          <w:tcPr>
            <w:tcW w:w="3847" w:type="dxa"/>
          </w:tcPr>
          <w:p>
            <w:pPr>
              <w:pStyle w:val="TableText"/>
              <w:spacing w:before="78" w:line="182"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60,386,504.95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风险收益特征</w:t>
            </w:r>
          </w:p>
        </w:tc>
        <w:tc>
          <w:tcPr>
            <w:tcW w:w="3847" w:type="dxa"/>
          </w:tcPr>
          <w:p>
            <w:pPr>
              <w:pStyle w:val="TableText"/>
              <w:spacing w:before="54" w:line="200" w:lineRule="auto"/>
              <w:jc w:val="center"/>
              <w:rPr>
                <w:rFonts w:ascii="楷体" w:eastAsia="楷体" w:hAnsi="楷体" w:cs="楷体" w:hint="eastAsia"/>
                <w:sz w:val="24"/>
                <w:szCs w:val="24"/>
                <w:highlight w:val="yellow"/>
              </w:rPr>
            </w:pPr>
            <w:r>
              <w:rPr>
                <w:rFonts w:ascii="楷体" w:eastAsia="楷体" w:hAnsi="楷体" w:cs="楷体" w:hint="eastAsia"/>
                <w:spacing w:val="-8"/>
                <w:sz w:val="24"/>
                <w:szCs w:val="24"/>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收益类型</w:t>
            </w:r>
          </w:p>
        </w:tc>
        <w:tc>
          <w:tcPr>
            <w:tcW w:w="3847" w:type="dxa"/>
          </w:tcPr>
          <w:p>
            <w:pPr>
              <w:pStyle w:val="TableText"/>
              <w:spacing w:before="56" w:line="199" w:lineRule="auto"/>
              <w:jc w:val="center"/>
              <w:rPr>
                <w:rFonts w:ascii="楷体" w:eastAsia="楷体" w:hAnsi="楷体" w:cs="楷体" w:hint="eastAsia"/>
                <w:sz w:val="24"/>
                <w:szCs w:val="24"/>
                <w:highlight w:val="yellow"/>
              </w:rPr>
            </w:pPr>
            <w:r>
              <w:rPr>
                <w:rFonts w:ascii="楷体" w:eastAsia="楷体" w:hAnsi="楷体" w:cs="楷体" w:hint="eastAsia"/>
                <w:spacing w:val="-9"/>
                <w:sz w:val="24"/>
                <w:szCs w:val="24"/>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管理人</w:t>
            </w:r>
          </w:p>
        </w:tc>
        <w:tc>
          <w:tcPr>
            <w:tcW w:w="3847" w:type="dxa"/>
          </w:tcPr>
          <w:p>
            <w:pPr>
              <w:pStyle w:val="TableText"/>
              <w:spacing w:before="55" w:line="200" w:lineRule="auto"/>
              <w:jc w:val="center"/>
              <w:rPr>
                <w:rFonts w:ascii="楷体" w:eastAsia="楷体" w:hAnsi="楷体" w:cs="楷体" w:hint="eastAsia"/>
                <w:sz w:val="24"/>
                <w:szCs w:val="24"/>
                <w:highlight w:val="yellow"/>
              </w:rPr>
            </w:pPr>
            <w:r>
              <w:rPr>
                <w:rFonts w:ascii="楷体" w:eastAsia="楷体" w:hAnsi="楷体" w:cs="楷体" w:hint="eastAsia"/>
                <w:spacing w:val="-3"/>
                <w:sz w:val="24"/>
                <w:szCs w:val="24"/>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托管人</w:t>
            </w:r>
          </w:p>
        </w:tc>
        <w:tc>
          <w:tcPr>
            <w:tcW w:w="3847" w:type="dxa"/>
          </w:tcPr>
          <w:p>
            <w:pPr>
              <w:pStyle w:val="TableText"/>
              <w:spacing w:before="56" w:line="199" w:lineRule="auto"/>
              <w:jc w:val="center"/>
              <w:rPr>
                <w:rFonts w:ascii="楷体" w:eastAsia="楷体" w:hAnsi="楷体" w:cs="楷体" w:hint="eastAsia"/>
                <w:sz w:val="24"/>
                <w:szCs w:val="24"/>
                <w:highlight w:val="yellow"/>
              </w:rPr>
            </w:pPr>
            <w:r>
              <w:rPr>
                <w:rFonts w:ascii="楷体" w:eastAsia="楷体" w:hAnsi="楷体" w:cs="楷体" w:hint="eastAsia"/>
                <w:spacing w:val="-3"/>
                <w:sz w:val="24"/>
                <w:szCs w:val="24"/>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托管账户</w:t>
            </w:r>
          </w:p>
        </w:tc>
        <w:tc>
          <w:tcPr>
            <w:tcW w:w="3847" w:type="dxa"/>
          </w:tcPr>
          <w:p>
            <w:pPr>
              <w:pStyle w:val="TableText"/>
              <w:spacing w:before="90" w:line="173"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31000188000591195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托管账户开户行</w:t>
            </w:r>
          </w:p>
        </w:tc>
        <w:tc>
          <w:tcPr>
            <w:tcW w:w="3847" w:type="dxa"/>
          </w:tcPr>
          <w:p>
            <w:pPr>
              <w:pStyle w:val="TableText"/>
              <w:spacing w:before="56" w:line="199" w:lineRule="auto"/>
              <w:jc w:val="center"/>
              <w:rPr>
                <w:rFonts w:ascii="楷体" w:eastAsia="楷体" w:hAnsi="楷体" w:cs="楷体" w:hint="eastAsia"/>
                <w:sz w:val="24"/>
                <w:szCs w:val="24"/>
              </w:rPr>
            </w:pPr>
            <w:r>
              <w:rPr>
                <w:rFonts w:ascii="楷体" w:eastAsia="楷体" w:hAnsi="楷体" w:cs="楷体" w:hint="eastAsia"/>
                <w:spacing w:val="-2"/>
                <w:sz w:val="24"/>
                <w:szCs w:val="24"/>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产品资产总值（元）</w:t>
            </w:r>
          </w:p>
        </w:tc>
        <w:tc>
          <w:tcPr>
            <w:tcW w:w="3847" w:type="dxa"/>
          </w:tcPr>
          <w:p>
            <w:pPr>
              <w:pStyle w:val="TableText"/>
              <w:spacing w:before="81" w:line="180" w:lineRule="auto"/>
              <w:jc w:val="center"/>
              <w:rPr>
                <w:rFonts w:ascii="楷体" w:eastAsia="楷体" w:hAnsi="楷体" w:cs="楷体" w:hint="eastAsia"/>
                <w:sz w:val="24"/>
                <w:szCs w:val="24"/>
              </w:rPr>
            </w:pPr>
            <w:r>
              <w:rPr>
                <w:rFonts w:ascii="楷体" w:eastAsia="楷体" w:hAnsi="楷体" w:cs="楷体" w:hint="eastAsia"/>
                <w:spacing w:val="-1"/>
                <w:sz w:val="24"/>
                <w:szCs w:val="24"/>
              </w:rPr>
              <w:t xml:space="preserve">60,442,712.25</w:t>
            </w:r>
            <w:r>
              <w:rPr>
                <w:rFonts w:ascii="楷体" w:eastAsia="楷体" w:hAnsi="楷体" w:cs="楷体" w:hint="eastAsia"/>
                <w:spacing w:val="-29"/>
                <w:sz w:val="24"/>
                <w:szCs w:val="24"/>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杠杆水平</w:t>
            </w:r>
          </w:p>
        </w:tc>
        <w:tc>
          <w:tcPr>
            <w:tcW w:w="3847" w:type="dxa"/>
          </w:tcPr>
          <w:p>
            <w:pPr>
              <w:pStyle w:val="TableText"/>
              <w:spacing w:before="56" w:line="202" w:lineRule="auto"/>
              <w:jc w:val="center"/>
              <w:rPr>
                <w:rFonts w:ascii="楷体" w:eastAsia="楷体" w:hAnsi="楷体" w:cs="楷体" w:hint="eastAsia"/>
                <w:sz w:val="24"/>
                <w:szCs w:val="24"/>
              </w:rPr>
            </w:pPr>
            <w:r>
              <w:rPr>
                <w:rFonts w:ascii="楷体" w:eastAsia="楷体" w:hAnsi="楷体" w:cs="楷体" w:hint="eastAsia"/>
                <w:spacing w:val="-4"/>
                <w:sz w:val="24"/>
                <w:szCs w:val="24"/>
              </w:rPr>
              <w:t xml:space="preserve">100.09%</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rPr>
            </w:pPr>
            <w:r>
              <w:rPr>
                <w:rFonts w:ascii="楷体" w:eastAsia="楷体" w:hAnsi="楷体" w:cs="楷体" w:hint="eastAsia"/>
                <w:sz w:val="24"/>
                <w:szCs w:val="24"/>
              </w:rPr>
              <w:t xml:space="preserve">报告日期</w:t>
            </w:r>
          </w:p>
        </w:tc>
        <w:tc>
          <w:tcPr>
            <w:tcW w:w="2100" w:type="dxa"/>
          </w:tcPr>
          <w:p>
            <w:pPr>
              <w:spacing w:line="320" w:lineRule="exact"/>
              <w:jc w:val="center"/>
              <w:rPr>
                <w:rFonts w:ascii="楷体" w:eastAsia="楷体" w:hAnsi="楷体" w:cs="楷体" w:hint="eastAsia"/>
              </w:rPr>
            </w:pPr>
            <w:r>
              <w:rPr>
                <w:rFonts w:ascii="楷体" w:eastAsia="楷体" w:hAnsi="楷体" w:cs="楷体" w:hint="eastAsia"/>
                <w:sz w:val="24"/>
                <w:szCs w:val="24"/>
              </w:rPr>
              <w:t xml:space="preserve">销售</w:t>
            </w:r>
            <w:r>
              <w:rPr>
                <w:rFonts w:ascii="楷体" w:eastAsia="楷体" w:hAnsi="楷体" w:cs="楷体" w:hint="eastAsia"/>
                <w:sz w:val="24"/>
                <w:szCs w:val="24"/>
                <w:lang w:eastAsia="zh-CN"/>
              </w:rPr>
              <w:t xml:space="preserve">名</w:t>
            </w:r>
            <w:r>
              <w:rPr>
                <w:rFonts w:ascii="楷体" w:eastAsia="楷体" w:hAnsi="楷体" w:cs="楷体" w:hint="eastAsia"/>
                <w:sz w:val="24"/>
                <w:szCs w:val="24"/>
              </w:rPr>
              <w:t xml:space="preserve">称</w:t>
            </w:r>
          </w:p>
        </w:tc>
        <w:tc>
          <w:tcPr>
            <w:tcW w:w="1470" w:type="dxa"/>
          </w:tcPr>
          <w:p>
            <w:pPr>
              <w:jc w:val="center"/>
              <w:rPr>
                <w:rFonts w:ascii="楷体" w:eastAsia="楷体" w:hAnsi="楷体" w:cs="楷体" w:hint="eastAsia"/>
              </w:rPr>
            </w:pPr>
            <w:r>
              <w:rPr>
                <w:rFonts w:ascii="楷体" w:eastAsia="楷体" w:hAnsi="楷体" w:cs="楷体" w:hint="eastAsia"/>
                <w:sz w:val="24"/>
                <w:szCs w:val="24"/>
              </w:rPr>
              <w:t xml:space="preserve">单位净值</w:t>
            </w:r>
          </w:p>
        </w:tc>
        <w:tc>
          <w:tcPr>
            <w:tcW w:w="1665"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累计单位净值</w:t>
            </w:r>
          </w:p>
        </w:tc>
        <w:tc>
          <w:tcPr>
            <w:tcW w:w="1876" w:type="dxa"/>
          </w:tcPr>
          <w:p>
            <w:pPr>
              <w:jc w:val="center"/>
              <w:rPr>
                <w:rFonts w:ascii="楷体" w:eastAsia="楷体" w:hAnsi="楷体" w:cs="楷体" w:hint="eastAsia"/>
              </w:rPr>
            </w:pPr>
            <w:r>
              <w:rPr>
                <w:rFonts w:ascii="楷体" w:eastAsia="楷体" w:hAnsi="楷体" w:cs="楷体" w:hint="eastAsia"/>
                <w:sz w:val="24"/>
                <w:szCs w:val="24"/>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2025-06-30</w:t>
            </w:r>
          </w:p>
        </w:tc>
        <w:tc>
          <w:tcPr>
            <w:tcW w:w="2100"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苏银理财恒源封闭三年鑫利12期</w:t>
            </w:r>
          </w:p>
        </w:tc>
        <w:tc>
          <w:tcPr>
            <w:tcW w:w="1470"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1.002136</w:t>
            </w:r>
          </w:p>
        </w:tc>
        <w:tc>
          <w:tcPr>
            <w:tcW w:w="1665"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1.032685</w:t>
            </w:r>
          </w:p>
        </w:tc>
        <w:tc>
          <w:tcPr>
            <w:tcW w:w="1876"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3.00%-3.30%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413"/>
        <w:gridCol w:w="2610"/>
        <w:gridCol w:w="2550"/>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1"/>
                <w:szCs w:val="21"/>
              </w:rPr>
            </w:pPr>
            <w:r>
              <w:rPr>
                <w:rFonts w:ascii="楷体" w:eastAsia="楷体" w:hAnsi="楷体" w:cs="楷体" w:hint="eastAsia"/>
                <w:sz w:val="21"/>
                <w:szCs w:val="21"/>
              </w:rPr>
              <w:t xml:space="preserve">序号</w:t>
            </w:r>
          </w:p>
        </w:tc>
        <w:tc>
          <w:tcPr>
            <w:tcW w:w="2413" w:type="dxa"/>
            <w:vAlign w:val="center"/>
          </w:tcPr>
          <w:p>
            <w:pPr>
              <w:spacing w:line="320" w:lineRule="exact"/>
              <w:jc w:val="center"/>
              <w:rPr>
                <w:rFonts w:ascii="楷体" w:eastAsia="楷体" w:hAnsi="楷体" w:cs="楷体" w:hint="eastAsia"/>
                <w:sz w:val="21"/>
                <w:szCs w:val="21"/>
              </w:rPr>
            </w:pPr>
            <w:r>
              <w:rPr>
                <w:rFonts w:ascii="楷体" w:eastAsia="楷体" w:hAnsi="楷体" w:cs="楷体" w:hint="eastAsia"/>
                <w:sz w:val="21"/>
                <w:szCs w:val="21"/>
              </w:rPr>
              <w:t xml:space="preserve">资产类别</w:t>
            </w:r>
          </w:p>
        </w:tc>
        <w:tc>
          <w:tcPr>
            <w:tcW w:w="2610" w:type="dxa"/>
            <w:vAlign w:val="center"/>
          </w:tcPr>
          <w:p>
            <w:pPr>
              <w:spacing w:line="320" w:lineRule="exact"/>
              <w:rPr>
                <w:rFonts w:ascii="楷体" w:eastAsia="楷体" w:hAnsi="楷体" w:cs="楷体" w:hint="eastAsia"/>
                <w:sz w:val="21"/>
                <w:szCs w:val="21"/>
              </w:rPr>
            </w:pPr>
            <w:r>
              <w:rPr>
                <w:rFonts w:ascii="楷体" w:eastAsia="楷体" w:hAnsi="楷体" w:cs="楷体" w:hint="eastAsia"/>
                <w:sz w:val="21"/>
                <w:szCs w:val="21"/>
              </w:rPr>
              <w:t xml:space="preserve">直接投资占总资产的比例</w:t>
            </w:r>
          </w:p>
        </w:tc>
        <w:tc>
          <w:tcPr>
            <w:tcW w:w="2550" w:type="dxa"/>
            <w:vAlign w:val="center"/>
          </w:tcPr>
          <w:p>
            <w:pPr>
              <w:spacing w:line="320" w:lineRule="exact"/>
              <w:jc w:val="center"/>
              <w:rPr>
                <w:rFonts w:ascii="楷体" w:eastAsia="楷体" w:hAnsi="楷体" w:cs="楷体" w:hint="eastAsia"/>
                <w:sz w:val="21"/>
                <w:szCs w:val="21"/>
              </w:rPr>
            </w:pPr>
            <w:r>
              <w:rPr>
                <w:rFonts w:ascii="楷体" w:eastAsia="楷体" w:hAnsi="楷体" w:cs="楷体" w:hint="eastAsia"/>
                <w:sz w:val="21"/>
                <w:szCs w:val="21"/>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1</w:t>
            </w:r>
          </w:p>
        </w:tc>
        <w:tc>
          <w:tcPr>
            <w:tcW w:w="2413"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固定收益类</w:t>
            </w:r>
          </w:p>
        </w:tc>
        <w:tc>
          <w:tcPr>
            <w:tcW w:w="2610"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2.01%</w:t>
            </w:r>
          </w:p>
        </w:tc>
        <w:tc>
          <w:tcPr>
            <w:tcW w:w="2550"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97.99%</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2</w:t>
            </w:r>
          </w:p>
        </w:tc>
        <w:tc>
          <w:tcPr>
            <w:tcW w:w="2413"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权益类</w:t>
            </w:r>
          </w:p>
        </w:tc>
        <w:tc>
          <w:tcPr>
            <w:tcW w:w="261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c>
          <w:tcPr>
            <w:tcW w:w="255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3</w:t>
            </w:r>
          </w:p>
        </w:tc>
        <w:tc>
          <w:tcPr>
            <w:tcW w:w="2413"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商品及金融衍生品类</w:t>
            </w:r>
          </w:p>
        </w:tc>
        <w:tc>
          <w:tcPr>
            <w:tcW w:w="261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c>
          <w:tcPr>
            <w:tcW w:w="255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4</w:t>
            </w:r>
          </w:p>
        </w:tc>
        <w:tc>
          <w:tcPr>
            <w:tcW w:w="2413"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混合类</w:t>
            </w:r>
          </w:p>
        </w:tc>
        <w:tc>
          <w:tcPr>
            <w:tcW w:w="261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c>
          <w:tcPr>
            <w:tcW w:w="255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140" w:type="dxa"/>
            <w:gridSpan w:val="2"/>
            <w:shd w:val="clear" w:color="auto" w:fill="auto"/>
            <w:vAlign w:val="center"/>
          </w:tcPr>
          <w:p>
            <w:pPr>
              <w:tabs>
                <w:tab w:val="center" w:pos="1522"/>
                <w:tab w:val="right" w:pos="2924"/>
              </w:tabs>
              <w:jc w:val="left"/>
              <w:rPr>
                <w:rFonts w:ascii="楷体" w:eastAsia="楷体" w:hAnsi="楷体" w:cs="楷体" w:hint="eastAsia"/>
                <w:sz w:val="24"/>
                <w:szCs w:val="24"/>
                <w:lang w:eastAsia="zh-CN"/>
              </w:rPr>
            </w:pPr>
            <w:r>
              <w:rPr>
                <w:rFonts w:ascii="楷体" w:eastAsia="楷体" w:hAnsi="楷体" w:cs="楷体" w:hint="eastAsia"/>
                <w:sz w:val="24"/>
                <w:szCs w:val="24"/>
                <w:lang w:eastAsia="zh-CN"/>
              </w:rPr>
              <w:tab/>
            </w:r>
            <w:r>
              <w:rPr>
                <w:rFonts w:ascii="楷体" w:eastAsia="楷体" w:hAnsi="楷体" w:cs="楷体" w:hint="eastAsia"/>
                <w:sz w:val="24"/>
                <w:szCs w:val="24"/>
              </w:rPr>
              <w:t xml:space="preserve">合计</w:t>
            </w:r>
            <w:r>
              <w:rPr>
                <w:rFonts w:ascii="楷体" w:eastAsia="楷体" w:hAnsi="楷体" w:cs="楷体" w:hint="eastAsia"/>
                <w:sz w:val="24"/>
                <w:szCs w:val="24"/>
                <w:lang w:eastAsia="zh-CN"/>
              </w:rPr>
              <w:tab/>
            </w:r>
          </w:p>
        </w:tc>
        <w:tc>
          <w:tcPr>
            <w:tcW w:w="2610" w:type="dxa"/>
            <w:shd w:val="clear" w:color="auto" w:fill="auto"/>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2.01%</w:t>
            </w:r>
          </w:p>
        </w:tc>
        <w:tc>
          <w:tcPr>
            <w:tcW w:w="2550" w:type="dxa"/>
            <w:shd w:val="clear" w:color="auto" w:fill="FFFFFF"/>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97.99%</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序号</w:t>
            </w:r>
          </w:p>
        </w:tc>
        <w:tc>
          <w:tcPr>
            <w:tcW w:w="2434"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资产名称</w:t>
            </w:r>
          </w:p>
        </w:tc>
        <w:tc>
          <w:tcPr>
            <w:tcW w:w="1275"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资产类别</w:t>
            </w:r>
          </w:p>
        </w:tc>
        <w:tc>
          <w:tcPr>
            <w:tcW w:w="2235"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持有金额（元）</w:t>
            </w:r>
          </w:p>
        </w:tc>
        <w:tc>
          <w:tcPr>
            <w:tcW w:w="1800"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rPr>
            </w:pPr>
            <w:r>
              <w:rPr>
                <w:rFonts w:ascii="楷体" w:eastAsia="楷体" w:hAnsi="楷体" w:cs="楷体" w:hint="eastAsia"/>
                <w:sz w:val="22"/>
              </w:rPr>
              <w:t xml:space="preserve">1</w:t>
            </w:r>
          </w:p>
        </w:tc>
        <w:tc>
          <w:tcPr>
            <w:tcW w:w="2434" w:type="dxa"/>
          </w:tcPr>
          <w:p>
            <w:pPr>
              <w:jc w:val="center"/>
              <w:rPr>
                <w:rFonts w:ascii="楷体" w:eastAsia="楷体" w:hAnsi="楷体" w:cs="楷体" w:hint="eastAsia"/>
                <w:sz w:val="22"/>
              </w:rPr>
            </w:pPr>
            <w:r>
              <w:rPr>
                <w:rFonts w:ascii="楷体" w:eastAsia="楷体" w:hAnsi="楷体" w:cs="楷体" w:hint="eastAsia"/>
                <w:sz w:val="22"/>
              </w:rPr>
              <w:t xml:space="preserve">杭州工商信托-玖盈103号-西湖城建-二期</w:t>
            </w:r>
          </w:p>
        </w:tc>
        <w:tc>
          <w:tcPr>
            <w:tcW w:w="1275" w:type="dxa"/>
          </w:tcPr>
          <w:p>
            <w:pPr>
              <w:jc w:val="center"/>
              <w:rPr>
                <w:rFonts w:ascii="楷体" w:eastAsia="楷体" w:hAnsi="楷体" w:cs="楷体" w:hint="eastAsia"/>
                <w:sz w:val="22"/>
              </w:rPr>
            </w:pPr>
            <w:r>
              <w:rPr>
                <w:rFonts w:ascii="楷体" w:eastAsia="楷体" w:hAnsi="楷体" w:cs="楷体" w:hint="eastAsia"/>
                <w:sz w:val="22"/>
              </w:rPr>
              <w:t xml:space="preserve">非标准化债权类资产</w:t>
            </w:r>
          </w:p>
        </w:tc>
        <w:tc>
          <w:tcPr>
            <w:tcW w:w="2235" w:type="dxa"/>
          </w:tcPr>
          <w:p>
            <w:pPr>
              <w:jc w:val="center"/>
              <w:rPr>
                <w:rFonts w:ascii="楷体" w:eastAsia="楷体" w:hAnsi="楷体" w:cs="楷体" w:hint="eastAsia"/>
                <w:sz w:val="22"/>
              </w:rPr>
            </w:pPr>
            <w:r>
              <w:rPr>
                <w:rFonts w:ascii="楷体" w:eastAsia="楷体" w:hAnsi="楷体" w:cs="楷体" w:hint="eastAsia"/>
                <w:sz w:val="22"/>
              </w:rPr>
              <w:t xml:space="preserve">13,994,690.15</w:t>
            </w:r>
          </w:p>
        </w:tc>
        <w:tc>
          <w:tcPr>
            <w:tcW w:w="1800" w:type="dxa"/>
          </w:tcPr>
          <w:p>
            <w:pPr>
              <w:jc w:val="center"/>
              <w:rPr>
                <w:rFonts w:ascii="楷体" w:eastAsia="楷体" w:hAnsi="楷体" w:cs="楷体" w:hint="eastAsia"/>
                <w:sz w:val="22"/>
              </w:rPr>
            </w:pPr>
            <w:r>
              <w:rPr>
                <w:rFonts w:ascii="楷体" w:eastAsia="楷体" w:hAnsi="楷体" w:cs="楷体" w:hint="eastAsia"/>
                <w:sz w:val="22"/>
              </w:rPr>
              <w:t xml:space="preserve">23.14%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杭州工商信托-玖盈103号-富阳交通-二期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13,994,690.15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23.14%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建行优1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2,780,684.72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4.60%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2,351,475.40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3.89%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云南信托-满盈4号-2期-度小满</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2,014,690.41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3.33%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中行优3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1,887,921.63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3.12%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23萧控03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820,987.42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1.36%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23拱城02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820,319.36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1.36%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23奉投02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629,713.86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23沿海04</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548,661.66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0.91%</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杭州西湖城市建设投资集团有限公司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杭州工商信托-玖盈103号-西湖城建-二期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679</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14,000,000.00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杭州富阳交通发展投资集团有限公司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杭州工商信托-玖盈103号-富阳交通-二期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679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14,000,000.00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度小满导流，信托自主审核通过的借款人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云南信托-满盈4号-2期-度小满</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418</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杭州富阳交通发展投资集团有限公司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2007-12-14</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一般项目：股权投资；土地整治服务；物业管理；城市绿化管理；工程管理服务；新材料技术推广服务；园区管理服务；有色金属合金销售；建筑材料销售；新能源汽车整车销售；交通设施维修；房屋拆迁服务；汽车销售(除依法须经批准的项目外，凭营业执照依法自主开展经营活动)。许可项目：建设工程施工；城市公共交通；公路管理与养护；道路旅客运输站经营；港口经营；房地产开发经营(依法须经批准的项目，经相关部门批准后方可开展经营活动，具体经营项目以审批结果为准)。</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杭州西湖城市建设投资集团有限公司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2004-01-05</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服务:城市基础设施建设(凭资质证经营),代建由政府有关职能部门授权的农转居多层公寓和经济适用房;批发、零售:建筑材料;其他无需报经审批的一切合法项目。</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度小满导流，信托自主审核通过的借款人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bl>
    <w:p>
      <w:pPr>
        <w:pStyle w:val="标题4"/>
        <w:rPr>
          <w:rFonts w:ascii="楷体" w:eastAsia="楷体" w:hAnsi="楷体" w:cs="楷体" w:hint="eastAsia"/>
        </w:rPr>
      </w:pPr>
    </w:p>
    <w:p>
      <w:pPr>
        <w:pStyle w:val="Heading3"/>
        <w:rPr>
          <w:rFonts w:ascii="楷体" w:eastAsia="楷体" w:hAnsi="楷体" w:cs="楷体" w:hint="eastAsia"/>
          <w:b w:val="0"/>
          <w:sz w:val="21"/>
        </w:rPr>
      </w:pPr>
      <w:r>
        <w:rPr>
          <w:rFonts w:ascii="楷体" w:eastAsia="楷体" w:hAnsi="楷体" w:cs="楷体" w:hint="eastAsia"/>
          <w:b w:val="0"/>
          <w:sz w:val="21"/>
        </w:rPr>
        <w:t xml:space="preserve">（四）关联交易情况</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25,219,277.00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29,000,000.00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24,488,200.00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29,810,000.00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30,050.51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6,032.13</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60,257,735.00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2025-03-31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60,257,735.00</w:t>
            </w:r>
          </w:p>
        </w:tc>
      </w:tr>
    </w:tbl>
    <w:p>
      <w:pPr>
        <w:pStyle w:val="标题4"/>
        <w:rPr>
          <w:rFonts w:ascii="楷体" w:eastAsia="楷体" w:hAnsi="楷体" w:cs="楷体" w:hint="eastAsia"/>
        </w:rPr>
      </w:pPr>
    </w:p>
    <w:p>
      <w:pPr>
        <w:pStyle w:val="Heading3"/>
        <w:rPr>
          <w:rFonts w:ascii="楷体" w:eastAsia="楷体" w:hAnsi="楷体" w:cs="楷体" w:hint="eastAsia"/>
          <w:spacing w:val="0"/>
        </w:rPr>
      </w:pPr>
      <w:bookmarkStart w:id="1" w:name="_GoBack"/>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本理财产品以固收类资产和非标资产为主，采用低波稳健策略，主要配置优质非标与中高等级债券。上半年债券市场整体呈下行趋势，产品整体表现较为稳健，后续有望继续提供长期稳健收益。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基本面方面，上半年我国经济顶住压力实现较高增长，GDP同比增速录得5.3%，其中一、二季度GDP分别增长5.4%、5.2%。上半年我国社零额累计实现5%的增长，较一季度增加1.5个百分点，且高于去年全年水平，消费整体仍延续改善的趋势。新动能持续形成高贡献，外需相关行业生产边际修复，但与内需挂钩的上游工业生产仍然偏弱。债市方面，2025年上半年债市呈高波动、重交易的特征，债券收益率曲线平坦化。债市收益率先上后下。年初十年国债收益率围绕1.6%左右震荡。2月以来，央行流动性紧缩叠加股市快速上涨等因素，十年期国债收益率快速上升至1.88%左右。二季度在中美贸易摩擦和央行降准降息的背景下，国债收益率快速下行至1.65%左右，随后维持震荡态势直到季末。展望下半年，在股市强势上涨及风险偏好上升的背景下，债市预计延续震荡格局。但从近期国内基本面数据来看，三季度以来的内部变化弱于预期，需求修复转弱，下半年降准降息等政策仍有较大的可能性。后续若股市进入登顶回落期，风险偏好反转，债市或走向修复。</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根据市场动态变化，控制组合久期处于合理稳健区间。资产配置上兼顾安全性、流动性和收益性，坚守风险合规底线，紧密跟踪市场变化，强化投资研究分析，致力于为广大投资者创造长期稳健的投资回报。</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本产品持仓优质非标资产与低波债券专户，抗市场波动能力较强，通过组合久期管理、流动性指标监测等多项措施持续加强久期与流动性管理，有效控制产品的流动性风险。</w:t>
      </w:r>
      <w:bookmarkEnd w:id="1"/>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ind w:firstLine="420" w:firstLineChars="200"/>
        <w:jc w:val="left"/>
        <w:rPr>
          <w:rFonts w:ascii="楷体" w:eastAsia="楷体" w:hAnsi="楷体" w:cs="楷体" w:hint="eastAsia"/>
          <w:spacing w:val="9"/>
          <w:sz w:val="21"/>
          <w:szCs w:val="21"/>
        </w:rPr>
      </w:pPr>
      <w:r>
        <w:rPr>
          <w:rFonts w:ascii="楷体" w:eastAsia="楷体" w:hAnsi="楷体" w:hint="eastAsia"/>
          <w:bCs/>
          <w:kern w:val="0"/>
          <w:sz w:val="21"/>
          <w:szCs w:val="21"/>
        </w:rPr>
        <w:t xml:space="preserve">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532"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534"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535"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537"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jsyh</cp:lastModifiedBy>
  <dcterms:modified xsi:type="dcterms:W3CDTF">2025-08-22T09:29:50Z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4</TotalTime>
  <ScaleCrop>false</ScaleCrop>
  <LinksUpToDate>false</LinksUpToDate>
  <CharactersWithSpaces>2803</CharactersWithSpaces>
  <Application>WPS Office_11.8.2.10321_F1E327BC-269C-435d-A152-05C5408002CA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4</TotalTime>
  <Pages>4</Pages>
  <Words>419</Words>
  <Characters>2389</Characters>
  <Application>WPS Office_11.8.2.10321_F1E327BC-269C-435d-A152-05C5408002CA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jsyh</cp:lastModifiedBy>
  <cp:revision>22</cp:revision>
  <dcterms:created xsi:type="dcterms:W3CDTF">2021-11-18T10:04:00Z</dcterms:created>
  <dcterms:modified xsi:type="dcterms:W3CDTF">2025-08-22T10:23:59Z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2052-11.8.2.10321</vt:lpstr>
  </property>
  <property fmtid="{D5CDD505-2E9C-101B-9397-08002B2CF9AE}" pid="3" name="ICV">
    <vt:lpstr>31802637FF8E4298AD1DCE61A946E12D</vt:lpstr>
  </property>
</Properties>
</file>