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苏银理财恒源封闭三年鑫利15期</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2025年半年度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苏银理财恒源封闭三年鑫利15期</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2024年09月20日</w:t>
      </w:r>
      <w:r>
        <w:rPr>
          <w:rFonts w:ascii="楷体" w:eastAsia="楷体" w:hAnsi="楷体" w:cs="楷体" w:hint="eastAsia"/>
        </w:rPr>
        <w:t xml:space="preserve">成立，于</w:t>
      </w:r>
      <w:r>
        <w:rPr>
          <w:rFonts w:ascii="楷体" w:eastAsia="楷体" w:hAnsi="楷体" w:cs="楷体" w:hint="eastAsia"/>
          <w:spacing w:val="-7"/>
        </w:rPr>
        <w:t xml:space="preserve">2024年09月20日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产品名称</w:t>
            </w:r>
          </w:p>
        </w:tc>
        <w:tc>
          <w:tcPr>
            <w:tcW w:w="3847" w:type="dxa"/>
          </w:tcPr>
          <w:p>
            <w:pPr>
              <w:pStyle w:val="TableText"/>
              <w:spacing w:before="56" w:line="202" w:lineRule="auto"/>
              <w:jc w:val="center"/>
              <w:rPr>
                <w:rFonts w:ascii="楷体" w:eastAsia="楷体" w:hAnsi="楷体" w:cs="楷体" w:hint="eastAsia"/>
                <w:sz w:val="24"/>
                <w:szCs w:val="24"/>
                <w:highlight w:val="yellow"/>
              </w:rPr>
            </w:pPr>
            <w:r>
              <w:rPr>
                <w:rFonts w:ascii="楷体" w:eastAsia="楷体" w:hAnsi="楷体" w:cs="楷体" w:hint="eastAsia"/>
                <w:spacing w:val="-6"/>
                <w:sz w:val="24"/>
                <w:szCs w:val="24"/>
              </w:rPr>
              <w:t xml:space="preserve">苏银理财恒源封闭三年鑫利15期</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4"/>
                <w:szCs w:val="24"/>
                <w:highlight w:val="yellow"/>
              </w:rPr>
            </w:pPr>
            <w:r>
              <w:rPr>
                <w:rFonts w:ascii="楷体" w:eastAsia="楷体" w:hAnsi="楷体" w:cs="楷体" w:hint="eastAsia"/>
                <w:spacing w:val="-1"/>
                <w:sz w:val="24"/>
                <w:szCs w:val="24"/>
              </w:rPr>
              <w:t xml:space="preserve">Z7003124000085</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产品运作方式</w:t>
            </w:r>
          </w:p>
        </w:tc>
        <w:tc>
          <w:tcPr>
            <w:tcW w:w="3847" w:type="dxa"/>
          </w:tcPr>
          <w:p>
            <w:pPr>
              <w:pStyle w:val="TableText"/>
              <w:spacing w:before="52" w:line="201" w:lineRule="auto"/>
              <w:jc w:val="center"/>
              <w:rPr>
                <w:rFonts w:ascii="楷体" w:eastAsia="楷体" w:hAnsi="楷体" w:cs="楷体" w:hint="eastAsia"/>
                <w:sz w:val="24"/>
                <w:szCs w:val="24"/>
                <w:highlight w:val="yellow"/>
              </w:rPr>
            </w:pPr>
            <w:r>
              <w:rPr>
                <w:rFonts w:ascii="楷体" w:eastAsia="楷体" w:hAnsi="楷体" w:cs="楷体" w:hint="eastAsia"/>
                <w:spacing w:val="-2"/>
                <w:sz w:val="24"/>
                <w:szCs w:val="24"/>
              </w:rPr>
              <w:t xml:space="preserve">封闭式净值型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4"/>
                <w:szCs w:val="24"/>
                <w:highlight w:val="yellow"/>
              </w:rPr>
            </w:pPr>
            <w:r>
              <w:rPr>
                <w:rFonts w:ascii="楷体" w:eastAsia="楷体" w:hAnsi="楷体" w:cs="楷体" w:hint="eastAsia"/>
                <w:spacing w:val="-1"/>
                <w:sz w:val="24"/>
                <w:szCs w:val="24"/>
              </w:rPr>
              <w:t xml:space="preserve">21,289,737.00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产品资产净值（元）</w:t>
            </w:r>
          </w:p>
        </w:tc>
        <w:tc>
          <w:tcPr>
            <w:tcW w:w="3847" w:type="dxa"/>
          </w:tcPr>
          <w:p>
            <w:pPr>
              <w:pStyle w:val="TableText"/>
              <w:spacing w:before="78" w:line="182" w:lineRule="auto"/>
              <w:jc w:val="center"/>
              <w:rPr>
                <w:rFonts w:ascii="楷体" w:eastAsia="楷体" w:hAnsi="楷体" w:cs="楷体" w:hint="eastAsia"/>
                <w:sz w:val="24"/>
                <w:szCs w:val="24"/>
                <w:highlight w:val="yellow"/>
              </w:rPr>
            </w:pPr>
            <w:r>
              <w:rPr>
                <w:rFonts w:ascii="楷体" w:eastAsia="楷体" w:hAnsi="楷体" w:cs="楷体" w:hint="eastAsia"/>
                <w:spacing w:val="-1"/>
                <w:sz w:val="24"/>
                <w:szCs w:val="24"/>
              </w:rPr>
              <w:t xml:space="preserve">21,305,485.57</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风险收益特征</w:t>
            </w:r>
          </w:p>
        </w:tc>
        <w:tc>
          <w:tcPr>
            <w:tcW w:w="3847" w:type="dxa"/>
          </w:tcPr>
          <w:p>
            <w:pPr>
              <w:pStyle w:val="TableText"/>
              <w:spacing w:before="54" w:line="200" w:lineRule="auto"/>
              <w:jc w:val="center"/>
              <w:rPr>
                <w:rFonts w:ascii="楷体" w:eastAsia="楷体" w:hAnsi="楷体" w:cs="楷体" w:hint="eastAsia"/>
                <w:sz w:val="24"/>
                <w:szCs w:val="24"/>
                <w:highlight w:val="yellow"/>
              </w:rPr>
            </w:pPr>
            <w:r>
              <w:rPr>
                <w:rFonts w:ascii="楷体" w:eastAsia="楷体" w:hAnsi="楷体" w:cs="楷体" w:hint="eastAsia"/>
                <w:spacing w:val="-8"/>
                <w:sz w:val="24"/>
                <w:szCs w:val="24"/>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收益类型</w:t>
            </w:r>
          </w:p>
        </w:tc>
        <w:tc>
          <w:tcPr>
            <w:tcW w:w="3847" w:type="dxa"/>
          </w:tcPr>
          <w:p>
            <w:pPr>
              <w:pStyle w:val="TableText"/>
              <w:spacing w:before="56" w:line="199" w:lineRule="auto"/>
              <w:jc w:val="center"/>
              <w:rPr>
                <w:rFonts w:ascii="楷体" w:eastAsia="楷体" w:hAnsi="楷体" w:cs="楷体" w:hint="eastAsia"/>
                <w:sz w:val="24"/>
                <w:szCs w:val="24"/>
                <w:highlight w:val="yellow"/>
              </w:rPr>
            </w:pPr>
            <w:r>
              <w:rPr>
                <w:rFonts w:ascii="楷体" w:eastAsia="楷体" w:hAnsi="楷体" w:cs="楷体" w:hint="eastAsia"/>
                <w:spacing w:val="-9"/>
                <w:sz w:val="24"/>
                <w:szCs w:val="24"/>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管理人</w:t>
            </w:r>
          </w:p>
        </w:tc>
        <w:tc>
          <w:tcPr>
            <w:tcW w:w="3847" w:type="dxa"/>
          </w:tcPr>
          <w:p>
            <w:pPr>
              <w:pStyle w:val="TableText"/>
              <w:spacing w:before="55" w:line="200" w:lineRule="auto"/>
              <w:jc w:val="center"/>
              <w:rPr>
                <w:rFonts w:ascii="楷体" w:eastAsia="楷体" w:hAnsi="楷体" w:cs="楷体" w:hint="eastAsia"/>
                <w:sz w:val="24"/>
                <w:szCs w:val="24"/>
                <w:highlight w:val="yellow"/>
              </w:rPr>
            </w:pPr>
            <w:r>
              <w:rPr>
                <w:rFonts w:ascii="楷体" w:eastAsia="楷体" w:hAnsi="楷体" w:cs="楷体" w:hint="eastAsia"/>
                <w:spacing w:val="-3"/>
                <w:sz w:val="24"/>
                <w:szCs w:val="24"/>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托管人</w:t>
            </w:r>
          </w:p>
        </w:tc>
        <w:tc>
          <w:tcPr>
            <w:tcW w:w="3847" w:type="dxa"/>
          </w:tcPr>
          <w:p>
            <w:pPr>
              <w:pStyle w:val="TableText"/>
              <w:spacing w:before="56" w:line="199" w:lineRule="auto"/>
              <w:jc w:val="center"/>
              <w:rPr>
                <w:rFonts w:ascii="楷体" w:eastAsia="楷体" w:hAnsi="楷体" w:cs="楷体" w:hint="eastAsia"/>
                <w:sz w:val="24"/>
                <w:szCs w:val="24"/>
                <w:highlight w:val="yellow"/>
              </w:rPr>
            </w:pPr>
            <w:r>
              <w:rPr>
                <w:rFonts w:ascii="楷体" w:eastAsia="楷体" w:hAnsi="楷体" w:cs="楷体" w:hint="eastAsia"/>
                <w:spacing w:val="-3"/>
                <w:sz w:val="24"/>
                <w:szCs w:val="24"/>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托管账户</w:t>
            </w:r>
          </w:p>
        </w:tc>
        <w:tc>
          <w:tcPr>
            <w:tcW w:w="3847" w:type="dxa"/>
          </w:tcPr>
          <w:p>
            <w:pPr>
              <w:pStyle w:val="TableText"/>
              <w:spacing w:before="90" w:line="173" w:lineRule="auto"/>
              <w:jc w:val="center"/>
              <w:rPr>
                <w:rFonts w:ascii="楷体" w:eastAsia="楷体" w:hAnsi="楷体" w:cs="楷体" w:hint="eastAsia"/>
                <w:sz w:val="24"/>
                <w:szCs w:val="24"/>
                <w:highlight w:val="yellow"/>
              </w:rPr>
            </w:pPr>
            <w:r>
              <w:rPr>
                <w:rFonts w:ascii="楷体" w:eastAsia="楷体" w:hAnsi="楷体" w:cs="楷体" w:hint="eastAsia"/>
                <w:spacing w:val="-1"/>
                <w:sz w:val="24"/>
                <w:szCs w:val="24"/>
              </w:rPr>
              <w:t xml:space="preserve">31000188000599525</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托管账户开户行</w:t>
            </w:r>
          </w:p>
        </w:tc>
        <w:tc>
          <w:tcPr>
            <w:tcW w:w="3847" w:type="dxa"/>
          </w:tcPr>
          <w:p>
            <w:pPr>
              <w:pStyle w:val="TableText"/>
              <w:spacing w:before="56" w:line="199" w:lineRule="auto"/>
              <w:jc w:val="center"/>
              <w:rPr>
                <w:rFonts w:ascii="楷体" w:eastAsia="楷体" w:hAnsi="楷体" w:cs="楷体" w:hint="eastAsia"/>
                <w:sz w:val="24"/>
                <w:szCs w:val="24"/>
              </w:rPr>
            </w:pPr>
            <w:r>
              <w:rPr>
                <w:rFonts w:ascii="楷体" w:eastAsia="楷体" w:hAnsi="楷体" w:cs="楷体" w:hint="eastAsia"/>
                <w:spacing w:val="-2"/>
                <w:sz w:val="24"/>
                <w:szCs w:val="24"/>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产品资产总值（元）</w:t>
            </w:r>
          </w:p>
        </w:tc>
        <w:tc>
          <w:tcPr>
            <w:tcW w:w="3847" w:type="dxa"/>
          </w:tcPr>
          <w:p>
            <w:pPr>
              <w:pStyle w:val="TableText"/>
              <w:spacing w:before="81" w:line="180" w:lineRule="auto"/>
              <w:jc w:val="center"/>
              <w:rPr>
                <w:rFonts w:ascii="楷体" w:eastAsia="楷体" w:hAnsi="楷体" w:cs="楷体" w:hint="eastAsia"/>
                <w:sz w:val="24"/>
                <w:szCs w:val="24"/>
              </w:rPr>
            </w:pPr>
            <w:r>
              <w:rPr>
                <w:rFonts w:ascii="楷体" w:eastAsia="楷体" w:hAnsi="楷体" w:cs="楷体" w:hint="eastAsia"/>
                <w:spacing w:val="-1"/>
                <w:sz w:val="24"/>
                <w:szCs w:val="24"/>
              </w:rPr>
              <w:t xml:space="preserve">21,332,315.73</w:t>
            </w:r>
            <w:r>
              <w:rPr>
                <w:rFonts w:ascii="楷体" w:eastAsia="楷体" w:hAnsi="楷体" w:cs="楷体" w:hint="eastAsia"/>
                <w:spacing w:val="-29"/>
                <w:sz w:val="24"/>
                <w:szCs w:val="24"/>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杠杆水平</w:t>
            </w:r>
          </w:p>
        </w:tc>
        <w:tc>
          <w:tcPr>
            <w:tcW w:w="3847" w:type="dxa"/>
          </w:tcPr>
          <w:p>
            <w:pPr>
              <w:pStyle w:val="TableText"/>
              <w:spacing w:before="56" w:line="202" w:lineRule="auto"/>
              <w:jc w:val="center"/>
              <w:rPr>
                <w:rFonts w:ascii="楷体" w:eastAsia="楷体" w:hAnsi="楷体" w:cs="楷体" w:hint="eastAsia"/>
                <w:sz w:val="24"/>
                <w:szCs w:val="24"/>
              </w:rPr>
            </w:pPr>
            <w:r>
              <w:rPr>
                <w:rFonts w:ascii="楷体" w:eastAsia="楷体" w:hAnsi="楷体" w:cs="楷体" w:hint="eastAsia"/>
                <w:spacing w:val="-4"/>
                <w:sz w:val="24"/>
                <w:szCs w:val="24"/>
              </w:rPr>
              <w:t xml:space="preserve">100.13%</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rPr>
            </w:pPr>
            <w:r>
              <w:rPr>
                <w:rFonts w:ascii="楷体" w:eastAsia="楷体" w:hAnsi="楷体" w:cs="楷体" w:hint="eastAsia"/>
                <w:sz w:val="24"/>
                <w:szCs w:val="24"/>
              </w:rPr>
              <w:t xml:space="preserve">报告日期</w:t>
            </w:r>
          </w:p>
        </w:tc>
        <w:tc>
          <w:tcPr>
            <w:tcW w:w="2100" w:type="dxa"/>
          </w:tcPr>
          <w:p>
            <w:pPr>
              <w:spacing w:line="320" w:lineRule="exact"/>
              <w:jc w:val="center"/>
              <w:rPr>
                <w:rFonts w:ascii="楷体" w:eastAsia="楷体" w:hAnsi="楷体" w:cs="楷体" w:hint="eastAsia"/>
              </w:rPr>
            </w:pPr>
            <w:r>
              <w:rPr>
                <w:rFonts w:ascii="楷体" w:eastAsia="楷体" w:hAnsi="楷体" w:cs="楷体" w:hint="eastAsia"/>
                <w:sz w:val="24"/>
                <w:szCs w:val="24"/>
              </w:rPr>
              <w:t xml:space="preserve">销售</w:t>
            </w:r>
            <w:r>
              <w:rPr>
                <w:rFonts w:ascii="楷体" w:eastAsia="楷体" w:hAnsi="楷体" w:cs="楷体" w:hint="eastAsia"/>
                <w:sz w:val="24"/>
                <w:szCs w:val="24"/>
                <w:lang w:eastAsia="zh-CN"/>
              </w:rPr>
              <w:t xml:space="preserve">名</w:t>
            </w:r>
            <w:r>
              <w:rPr>
                <w:rFonts w:ascii="楷体" w:eastAsia="楷体" w:hAnsi="楷体" w:cs="楷体" w:hint="eastAsia"/>
                <w:sz w:val="24"/>
                <w:szCs w:val="24"/>
              </w:rPr>
              <w:t xml:space="preserve">称</w:t>
            </w:r>
          </w:p>
        </w:tc>
        <w:tc>
          <w:tcPr>
            <w:tcW w:w="1470" w:type="dxa"/>
          </w:tcPr>
          <w:p>
            <w:pPr>
              <w:jc w:val="center"/>
              <w:rPr>
                <w:rFonts w:ascii="楷体" w:eastAsia="楷体" w:hAnsi="楷体" w:cs="楷体" w:hint="eastAsia"/>
              </w:rPr>
            </w:pPr>
            <w:r>
              <w:rPr>
                <w:rFonts w:ascii="楷体" w:eastAsia="楷体" w:hAnsi="楷体" w:cs="楷体" w:hint="eastAsia"/>
                <w:sz w:val="24"/>
                <w:szCs w:val="24"/>
              </w:rPr>
              <w:t xml:space="preserve">单位净值</w:t>
            </w:r>
          </w:p>
        </w:tc>
        <w:tc>
          <w:tcPr>
            <w:tcW w:w="1665" w:type="dxa"/>
          </w:tcPr>
          <w:p>
            <w:pPr>
              <w:jc w:val="center"/>
              <w:rPr>
                <w:rFonts w:ascii="楷体" w:eastAsia="楷体" w:hAnsi="楷体" w:cs="楷体" w:hint="eastAsia"/>
                <w:sz w:val="24"/>
                <w:szCs w:val="24"/>
              </w:rPr>
            </w:pPr>
            <w:r>
              <w:rPr>
                <w:rFonts w:ascii="楷体" w:eastAsia="楷体" w:hAnsi="楷体" w:cs="楷体" w:hint="eastAsia"/>
                <w:sz w:val="24"/>
                <w:szCs w:val="24"/>
              </w:rPr>
              <w:t xml:space="preserve">累计单位净值</w:t>
            </w:r>
          </w:p>
        </w:tc>
        <w:tc>
          <w:tcPr>
            <w:tcW w:w="1876" w:type="dxa"/>
          </w:tcPr>
          <w:p>
            <w:pPr>
              <w:jc w:val="center"/>
              <w:rPr>
                <w:rFonts w:ascii="楷体" w:eastAsia="楷体" w:hAnsi="楷体" w:cs="楷体" w:hint="eastAsia"/>
              </w:rPr>
            </w:pPr>
            <w:r>
              <w:rPr>
                <w:rFonts w:ascii="楷体" w:eastAsia="楷体" w:hAnsi="楷体" w:cs="楷体" w:hint="eastAsia"/>
                <w:sz w:val="24"/>
                <w:szCs w:val="24"/>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4"/>
                <w:szCs w:val="24"/>
              </w:rPr>
            </w:pPr>
            <w:r>
              <w:rPr>
                <w:rFonts w:ascii="楷体" w:eastAsia="楷体" w:hAnsi="楷体" w:cs="楷体" w:hint="eastAsia"/>
                <w:sz w:val="24"/>
                <w:szCs w:val="24"/>
              </w:rPr>
              <w:t xml:space="preserve">2025-06-30</w:t>
            </w:r>
          </w:p>
        </w:tc>
        <w:tc>
          <w:tcPr>
            <w:tcW w:w="2100" w:type="dxa"/>
          </w:tcPr>
          <w:p>
            <w:pPr>
              <w:jc w:val="center"/>
              <w:rPr>
                <w:rFonts w:ascii="楷体" w:eastAsia="楷体" w:hAnsi="楷体" w:cs="楷体" w:hint="eastAsia"/>
                <w:sz w:val="24"/>
                <w:szCs w:val="24"/>
              </w:rPr>
            </w:pPr>
            <w:r>
              <w:rPr>
                <w:rFonts w:ascii="楷体" w:eastAsia="楷体" w:hAnsi="楷体" w:cs="楷体" w:hint="eastAsia"/>
                <w:sz w:val="24"/>
                <w:szCs w:val="24"/>
              </w:rPr>
              <w:t xml:space="preserve">苏银理财恒源封闭三年鑫利15期</w:t>
            </w:r>
          </w:p>
        </w:tc>
        <w:tc>
          <w:tcPr>
            <w:tcW w:w="1470" w:type="dxa"/>
          </w:tcPr>
          <w:p>
            <w:pPr>
              <w:jc w:val="center"/>
              <w:rPr>
                <w:rFonts w:ascii="楷体" w:eastAsia="楷体" w:hAnsi="楷体" w:cs="楷体" w:hint="eastAsia"/>
                <w:sz w:val="24"/>
                <w:szCs w:val="24"/>
              </w:rPr>
            </w:pPr>
            <w:r>
              <w:rPr>
                <w:rFonts w:ascii="楷体" w:eastAsia="楷体" w:hAnsi="楷体" w:cs="楷体" w:hint="eastAsia"/>
                <w:sz w:val="24"/>
                <w:szCs w:val="24"/>
              </w:rPr>
              <w:t xml:space="preserve">1.000739</w:t>
            </w:r>
          </w:p>
        </w:tc>
        <w:tc>
          <w:tcPr>
            <w:tcW w:w="1665" w:type="dxa"/>
          </w:tcPr>
          <w:p>
            <w:pPr>
              <w:jc w:val="center"/>
              <w:rPr>
                <w:rFonts w:ascii="楷体" w:eastAsia="楷体" w:hAnsi="楷体" w:cs="楷体" w:hint="eastAsia"/>
                <w:sz w:val="24"/>
                <w:szCs w:val="24"/>
              </w:rPr>
            </w:pPr>
            <w:r>
              <w:rPr>
                <w:rFonts w:ascii="楷体" w:eastAsia="楷体" w:hAnsi="楷体" w:cs="楷体" w:hint="eastAsia"/>
                <w:sz w:val="24"/>
                <w:szCs w:val="24"/>
              </w:rPr>
              <w:t xml:space="preserve">1.023755</w:t>
            </w:r>
          </w:p>
        </w:tc>
        <w:tc>
          <w:tcPr>
            <w:tcW w:w="1876" w:type="dxa"/>
          </w:tcPr>
          <w:p>
            <w:pPr>
              <w:jc w:val="center"/>
              <w:rPr>
                <w:rFonts w:ascii="楷体" w:eastAsia="楷体" w:hAnsi="楷体" w:cs="楷体" w:hint="eastAsia"/>
                <w:sz w:val="24"/>
                <w:szCs w:val="24"/>
              </w:rPr>
            </w:pPr>
            <w:r>
              <w:rPr>
                <w:rFonts w:ascii="楷体" w:eastAsia="楷体" w:hAnsi="楷体" w:cs="楷体" w:hint="eastAsia"/>
                <w:sz w:val="24"/>
                <w:szCs w:val="24"/>
              </w:rPr>
              <w:t xml:space="preserve">2.70%-3.30%</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413"/>
        <w:gridCol w:w="2610"/>
        <w:gridCol w:w="2550"/>
      </w:tblGrid>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1"/>
                <w:szCs w:val="21"/>
              </w:rPr>
            </w:pPr>
            <w:r>
              <w:rPr>
                <w:rFonts w:ascii="楷体" w:eastAsia="楷体" w:hAnsi="楷体" w:cs="楷体" w:hint="eastAsia"/>
                <w:sz w:val="21"/>
                <w:szCs w:val="21"/>
              </w:rPr>
              <w:t xml:space="preserve">序号</w:t>
            </w:r>
          </w:p>
        </w:tc>
        <w:tc>
          <w:tcPr>
            <w:tcW w:w="2413" w:type="dxa"/>
            <w:vAlign w:val="center"/>
          </w:tcPr>
          <w:p>
            <w:pPr>
              <w:spacing w:line="320" w:lineRule="exact"/>
              <w:jc w:val="center"/>
              <w:rPr>
                <w:rFonts w:ascii="楷体" w:eastAsia="楷体" w:hAnsi="楷体" w:cs="楷体" w:hint="eastAsia"/>
                <w:sz w:val="21"/>
                <w:szCs w:val="21"/>
              </w:rPr>
            </w:pPr>
            <w:r>
              <w:rPr>
                <w:rFonts w:ascii="楷体" w:eastAsia="楷体" w:hAnsi="楷体" w:cs="楷体" w:hint="eastAsia"/>
                <w:sz w:val="21"/>
                <w:szCs w:val="21"/>
              </w:rPr>
              <w:t xml:space="preserve">资产类别</w:t>
            </w:r>
          </w:p>
        </w:tc>
        <w:tc>
          <w:tcPr>
            <w:tcW w:w="2610" w:type="dxa"/>
            <w:vAlign w:val="center"/>
          </w:tcPr>
          <w:p>
            <w:pPr>
              <w:spacing w:line="320" w:lineRule="exact"/>
              <w:rPr>
                <w:rFonts w:ascii="楷体" w:eastAsia="楷体" w:hAnsi="楷体" w:cs="楷体" w:hint="eastAsia"/>
                <w:sz w:val="21"/>
                <w:szCs w:val="21"/>
              </w:rPr>
            </w:pPr>
            <w:r>
              <w:rPr>
                <w:rFonts w:ascii="楷体" w:eastAsia="楷体" w:hAnsi="楷体" w:cs="楷体" w:hint="eastAsia"/>
                <w:sz w:val="21"/>
                <w:szCs w:val="21"/>
              </w:rPr>
              <w:t xml:space="preserve">直接投资占总资产的比例</w:t>
            </w:r>
          </w:p>
        </w:tc>
        <w:tc>
          <w:tcPr>
            <w:tcW w:w="2550" w:type="dxa"/>
            <w:vAlign w:val="center"/>
          </w:tcPr>
          <w:p>
            <w:pPr>
              <w:spacing w:line="320" w:lineRule="exact"/>
              <w:jc w:val="center"/>
              <w:rPr>
                <w:rFonts w:ascii="楷体" w:eastAsia="楷体" w:hAnsi="楷体" w:cs="楷体" w:hint="eastAsia"/>
                <w:sz w:val="21"/>
                <w:szCs w:val="21"/>
              </w:rPr>
            </w:pPr>
            <w:r>
              <w:rPr>
                <w:rFonts w:ascii="楷体" w:eastAsia="楷体" w:hAnsi="楷体" w:cs="楷体" w:hint="eastAsia"/>
                <w:sz w:val="21"/>
                <w:szCs w:val="21"/>
              </w:rPr>
              <w:t xml:space="preserve">间接投资占总资产的比例</w:t>
            </w:r>
          </w:p>
        </w:tc>
      </w:tr>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4"/>
                <w:szCs w:val="24"/>
              </w:rPr>
            </w:pPr>
            <w:r>
              <w:rPr>
                <w:rFonts w:ascii="楷体" w:eastAsia="楷体" w:hAnsi="楷体" w:cs="楷体" w:hint="eastAsia"/>
                <w:sz w:val="24"/>
                <w:szCs w:val="24"/>
              </w:rPr>
              <w:t xml:space="preserve">1</w:t>
            </w:r>
          </w:p>
        </w:tc>
        <w:tc>
          <w:tcPr>
            <w:tcW w:w="2413" w:type="dxa"/>
            <w:vAlign w:val="center"/>
          </w:tcPr>
          <w:p>
            <w:pPr>
              <w:jc w:val="center"/>
              <w:rPr>
                <w:rFonts w:ascii="楷体" w:eastAsia="楷体" w:hAnsi="楷体" w:cs="楷体" w:hint="eastAsia"/>
                <w:sz w:val="24"/>
                <w:szCs w:val="24"/>
              </w:rPr>
            </w:pPr>
            <w:r>
              <w:rPr>
                <w:rFonts w:ascii="楷体" w:eastAsia="楷体" w:hAnsi="楷体" w:cs="楷体" w:hint="eastAsia"/>
                <w:sz w:val="24"/>
                <w:szCs w:val="24"/>
              </w:rPr>
              <w:t xml:space="preserve">固定收益类</w:t>
            </w:r>
          </w:p>
        </w:tc>
        <w:tc>
          <w:tcPr>
            <w:tcW w:w="2610" w:type="dxa"/>
            <w:vAlign w:val="center"/>
          </w:tcPr>
          <w:p>
            <w:pPr>
              <w:jc w:val="center"/>
              <w:rPr>
                <w:rFonts w:ascii="楷体" w:eastAsia="楷体" w:hAnsi="楷体" w:cs="楷体" w:hint="eastAsia"/>
                <w:sz w:val="24"/>
                <w:szCs w:val="24"/>
              </w:rPr>
            </w:pPr>
            <w:r>
              <w:rPr>
                <w:rFonts w:ascii="楷体" w:eastAsia="楷体" w:hAnsi="楷体" w:cs="楷体" w:hint="eastAsia"/>
                <w:sz w:val="24"/>
                <w:szCs w:val="24"/>
              </w:rPr>
              <w:t xml:space="preserve">1.83%</w:t>
            </w:r>
          </w:p>
        </w:tc>
        <w:tc>
          <w:tcPr>
            <w:tcW w:w="2550" w:type="dxa"/>
            <w:vAlign w:val="center"/>
          </w:tcPr>
          <w:p>
            <w:pPr>
              <w:jc w:val="center"/>
              <w:rPr>
                <w:rFonts w:ascii="楷体" w:eastAsia="楷体" w:hAnsi="楷体" w:cs="楷体" w:hint="eastAsia"/>
                <w:sz w:val="24"/>
                <w:szCs w:val="24"/>
              </w:rPr>
            </w:pPr>
            <w:r>
              <w:rPr>
                <w:rFonts w:ascii="楷体" w:eastAsia="楷体" w:hAnsi="楷体" w:cs="楷体" w:hint="eastAsia"/>
                <w:sz w:val="24"/>
                <w:szCs w:val="24"/>
              </w:rPr>
              <w:t xml:space="preserve">98.17%</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4"/>
                <w:u w:val="none"/>
              </w:rPr>
              <w:t xml:space="preserve">2</w:t>
            </w:r>
          </w:p>
        </w:tc>
        <w:tc>
          <w:tcPr>
            <w:tcW w:w="2413" w:type="dxa"/>
            <w:vAlign w:val="center"/>
          </w:tcPr>
          <w:p>
            <w:pPr>
              <w:pageBreakBefore w:val="0"/>
              <w:jc w:val="center"/>
              <w:textAlignment w:val="auto"/>
            </w:pPr>
            <w:r>
              <w:rPr>
                <w:rFonts w:ascii="楷体" w:eastAsia="楷体" w:hAnsi="楷体" w:cs="楷体"/>
                <w:b w:val="0"/>
                <w:i w:val="0"/>
                <w:strike w:val="0"/>
                <w:color w:val="auto"/>
                <w:position w:val="-1"/>
                <w:sz w:val="24"/>
                <w:u w:val="none"/>
              </w:rPr>
              <w:t xml:space="preserve">权益类</w:t>
            </w:r>
          </w:p>
        </w:tc>
        <w:tc>
          <w:tcPr>
            <w:tcW w:w="2610" w:type="dxa"/>
            <w:vAlign w:val="center"/>
          </w:tcPr>
          <w:p>
            <w:pPr>
              <w:pageBreakBefore w:val="0"/>
              <w:jc w:val="center"/>
              <w:textAlignment w:val="auto"/>
            </w:pPr>
            <w:r>
              <w:rPr>
                <w:rFonts w:ascii="楷体" w:eastAsia="楷体" w:hAnsi="楷体" w:cs="楷体"/>
                <w:b w:val="0"/>
                <w:i w:val="0"/>
                <w:strike w:val="0"/>
                <w:color w:val="auto"/>
                <w:position w:val="-1"/>
                <w:sz w:val="24"/>
                <w:u w:val="none"/>
              </w:rPr>
              <w:t xml:space="preserve">-</w:t>
            </w:r>
          </w:p>
        </w:tc>
        <w:tc>
          <w:tcPr>
            <w:tcW w:w="2550" w:type="dxa"/>
            <w:vAlign w:val="center"/>
          </w:tcPr>
          <w:p>
            <w:pPr>
              <w:pageBreakBefore w:val="0"/>
              <w:jc w:val="center"/>
              <w:textAlignment w:val="auto"/>
            </w:pPr>
            <w:r>
              <w:rPr>
                <w:rFonts w:ascii="楷体" w:eastAsia="楷体" w:hAnsi="楷体" w:cs="楷体"/>
                <w:b w:val="0"/>
                <w:i w:val="0"/>
                <w:strike w:val="0"/>
                <w:color w:val="auto"/>
                <w:position w:val="-1"/>
                <w:sz w:val="24"/>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4"/>
                <w:u w:val="none"/>
              </w:rPr>
              <w:t xml:space="preserve">3</w:t>
            </w:r>
          </w:p>
        </w:tc>
        <w:tc>
          <w:tcPr>
            <w:tcW w:w="2413" w:type="dxa"/>
            <w:vAlign w:val="center"/>
          </w:tcPr>
          <w:p>
            <w:pPr>
              <w:pageBreakBefore w:val="0"/>
              <w:jc w:val="center"/>
              <w:textAlignment w:val="auto"/>
            </w:pPr>
            <w:r>
              <w:rPr>
                <w:rFonts w:ascii="楷体" w:eastAsia="楷体" w:hAnsi="楷体" w:cs="楷体"/>
                <w:b w:val="0"/>
                <w:i w:val="0"/>
                <w:strike w:val="0"/>
                <w:color w:val="auto"/>
                <w:position w:val="-1"/>
                <w:sz w:val="24"/>
                <w:u w:val="none"/>
              </w:rPr>
              <w:t xml:space="preserve">商品及金融衍生品类</w:t>
            </w:r>
          </w:p>
        </w:tc>
        <w:tc>
          <w:tcPr>
            <w:tcW w:w="2610" w:type="dxa"/>
            <w:vAlign w:val="center"/>
          </w:tcPr>
          <w:p>
            <w:pPr>
              <w:pageBreakBefore w:val="0"/>
              <w:jc w:val="center"/>
              <w:textAlignment w:val="auto"/>
            </w:pPr>
            <w:r>
              <w:rPr>
                <w:rFonts w:ascii="楷体" w:eastAsia="楷体" w:hAnsi="楷体" w:cs="楷体"/>
                <w:b w:val="0"/>
                <w:i w:val="0"/>
                <w:strike w:val="0"/>
                <w:color w:val="auto"/>
                <w:position w:val="-1"/>
                <w:sz w:val="24"/>
                <w:u w:val="none"/>
              </w:rPr>
              <w:t xml:space="preserve">-</w:t>
            </w:r>
          </w:p>
        </w:tc>
        <w:tc>
          <w:tcPr>
            <w:tcW w:w="2550" w:type="dxa"/>
            <w:vAlign w:val="center"/>
          </w:tcPr>
          <w:p>
            <w:pPr>
              <w:pageBreakBefore w:val="0"/>
              <w:jc w:val="center"/>
              <w:textAlignment w:val="auto"/>
            </w:pPr>
            <w:r>
              <w:rPr>
                <w:rFonts w:ascii="楷体" w:eastAsia="楷体" w:hAnsi="楷体" w:cs="楷体"/>
                <w:b w:val="0"/>
                <w:i w:val="0"/>
                <w:strike w:val="0"/>
                <w:color w:val="auto"/>
                <w:position w:val="-1"/>
                <w:sz w:val="24"/>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4"/>
                <w:u w:val="none"/>
              </w:rPr>
              <w:t xml:space="preserve">4</w:t>
            </w:r>
          </w:p>
        </w:tc>
        <w:tc>
          <w:tcPr>
            <w:tcW w:w="2413" w:type="dxa"/>
            <w:vAlign w:val="center"/>
          </w:tcPr>
          <w:p>
            <w:pPr>
              <w:pageBreakBefore w:val="0"/>
              <w:jc w:val="center"/>
              <w:textAlignment w:val="auto"/>
            </w:pPr>
            <w:r>
              <w:rPr>
                <w:rFonts w:ascii="楷体" w:eastAsia="楷体" w:hAnsi="楷体" w:cs="楷体"/>
                <w:b w:val="0"/>
                <w:i w:val="0"/>
                <w:strike w:val="0"/>
                <w:color w:val="auto"/>
                <w:position w:val="-1"/>
                <w:sz w:val="24"/>
                <w:u w:val="none"/>
              </w:rPr>
              <w:t xml:space="preserve">混合类</w:t>
            </w:r>
          </w:p>
        </w:tc>
        <w:tc>
          <w:tcPr>
            <w:tcW w:w="2610" w:type="dxa"/>
            <w:vAlign w:val="center"/>
          </w:tcPr>
          <w:p>
            <w:pPr>
              <w:pageBreakBefore w:val="0"/>
              <w:jc w:val="center"/>
              <w:textAlignment w:val="auto"/>
            </w:pPr>
            <w:r>
              <w:rPr>
                <w:rFonts w:ascii="楷体" w:eastAsia="楷体" w:hAnsi="楷体" w:cs="楷体"/>
                <w:b w:val="0"/>
                <w:i w:val="0"/>
                <w:strike w:val="0"/>
                <w:color w:val="auto"/>
                <w:position w:val="-1"/>
                <w:sz w:val="24"/>
                <w:u w:val="none"/>
              </w:rPr>
              <w:t xml:space="preserve">-</w:t>
            </w:r>
          </w:p>
        </w:tc>
        <w:tc>
          <w:tcPr>
            <w:tcW w:w="2550" w:type="dxa"/>
            <w:vAlign w:val="center"/>
          </w:tcPr>
          <w:p>
            <w:pPr>
              <w:pageBreakBefore w:val="0"/>
              <w:jc w:val="center"/>
              <w:textAlignment w:val="auto"/>
            </w:pPr>
            <w:r>
              <w:rPr>
                <w:rFonts w:ascii="楷体" w:eastAsia="楷体" w:hAnsi="楷体" w:cs="楷体"/>
                <w:b w:val="0"/>
                <w:i w:val="0"/>
                <w:strike w:val="0"/>
                <w:color w:val="auto"/>
                <w:position w:val="-1"/>
                <w:sz w:val="24"/>
                <w:u w:val="none"/>
              </w:rPr>
              <w:t xml:space="preserve">-</w:t>
            </w:r>
          </w:p>
        </w:tc>
      </w:tr>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140" w:type="dxa"/>
            <w:gridSpan w:val="2"/>
            <w:shd w:val="clear" w:color="auto" w:fill="auto"/>
            <w:vAlign w:val="center"/>
          </w:tcPr>
          <w:p>
            <w:pPr>
              <w:tabs>
                <w:tab w:val="center" w:pos="1522"/>
                <w:tab w:val="right" w:pos="2924"/>
              </w:tabs>
              <w:jc w:val="left"/>
              <w:rPr>
                <w:rFonts w:ascii="楷体" w:eastAsia="楷体" w:hAnsi="楷体" w:cs="楷体" w:hint="eastAsia"/>
                <w:sz w:val="24"/>
                <w:szCs w:val="24"/>
                <w:lang w:eastAsia="zh-CN"/>
              </w:rPr>
            </w:pPr>
            <w:r>
              <w:rPr>
                <w:rFonts w:ascii="楷体" w:eastAsia="楷体" w:hAnsi="楷体" w:cs="楷体" w:hint="eastAsia"/>
                <w:sz w:val="24"/>
                <w:szCs w:val="24"/>
                <w:lang w:eastAsia="zh-CN"/>
              </w:rPr>
              <w:tab/>
            </w:r>
            <w:r>
              <w:rPr>
                <w:rFonts w:ascii="楷体" w:eastAsia="楷体" w:hAnsi="楷体" w:cs="楷体" w:hint="eastAsia"/>
                <w:sz w:val="24"/>
                <w:szCs w:val="24"/>
              </w:rPr>
              <w:t xml:space="preserve">合计</w:t>
            </w:r>
            <w:r>
              <w:rPr>
                <w:rFonts w:ascii="楷体" w:eastAsia="楷体" w:hAnsi="楷体" w:cs="楷体" w:hint="eastAsia"/>
                <w:sz w:val="24"/>
                <w:szCs w:val="24"/>
                <w:lang w:eastAsia="zh-CN"/>
              </w:rPr>
              <w:tab/>
            </w:r>
          </w:p>
        </w:tc>
        <w:tc>
          <w:tcPr>
            <w:tcW w:w="2610" w:type="dxa"/>
            <w:shd w:val="clear" w:color="auto" w:fill="auto"/>
            <w:vAlign w:val="center"/>
          </w:tcPr>
          <w:p>
            <w:pPr>
              <w:jc w:val="center"/>
              <w:rPr>
                <w:rFonts w:ascii="楷体" w:eastAsia="楷体" w:hAnsi="楷体" w:cs="楷体" w:hint="eastAsia"/>
                <w:sz w:val="24"/>
                <w:szCs w:val="24"/>
              </w:rPr>
            </w:pPr>
            <w:r>
              <w:rPr>
                <w:rFonts w:ascii="楷体" w:eastAsia="楷体" w:hAnsi="楷体" w:cs="楷体" w:hint="eastAsia"/>
                <w:sz w:val="24"/>
                <w:szCs w:val="24"/>
              </w:rPr>
              <w:t xml:space="preserve">1.83%</w:t>
            </w:r>
          </w:p>
        </w:tc>
        <w:tc>
          <w:tcPr>
            <w:tcW w:w="2550" w:type="dxa"/>
            <w:shd w:val="clear" w:color="auto" w:fill="FFFFFF"/>
            <w:vAlign w:val="center"/>
          </w:tcPr>
          <w:p>
            <w:pPr>
              <w:jc w:val="center"/>
              <w:rPr>
                <w:rFonts w:ascii="楷体" w:eastAsia="楷体" w:hAnsi="楷体" w:cs="楷体" w:hint="eastAsia"/>
                <w:sz w:val="24"/>
                <w:szCs w:val="24"/>
              </w:rPr>
            </w:pPr>
            <w:r>
              <w:rPr>
                <w:rFonts w:ascii="楷体" w:eastAsia="楷体" w:hAnsi="楷体" w:cs="楷体" w:hint="eastAsia"/>
                <w:sz w:val="24"/>
                <w:szCs w:val="24"/>
              </w:rPr>
              <w:t xml:space="preserve">98.17%</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序号</w:t>
            </w:r>
          </w:p>
        </w:tc>
        <w:tc>
          <w:tcPr>
            <w:tcW w:w="2434" w:type="dxa"/>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资产名称</w:t>
            </w:r>
          </w:p>
        </w:tc>
        <w:tc>
          <w:tcPr>
            <w:tcW w:w="1275" w:type="dxa"/>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资产类别</w:t>
            </w:r>
          </w:p>
        </w:tc>
        <w:tc>
          <w:tcPr>
            <w:tcW w:w="2235" w:type="dxa"/>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持有金额（元）</w:t>
            </w:r>
          </w:p>
        </w:tc>
        <w:tc>
          <w:tcPr>
            <w:tcW w:w="1800" w:type="dxa"/>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rPr>
            </w:pPr>
            <w:r>
              <w:rPr>
                <w:rFonts w:ascii="楷体" w:eastAsia="楷体" w:hAnsi="楷体" w:cs="楷体" w:hint="eastAsia"/>
                <w:sz w:val="22"/>
              </w:rPr>
              <w:t xml:space="preserve">1</w:t>
            </w:r>
          </w:p>
        </w:tc>
        <w:tc>
          <w:tcPr>
            <w:tcW w:w="2434" w:type="dxa"/>
          </w:tcPr>
          <w:p>
            <w:pPr>
              <w:jc w:val="center"/>
              <w:rPr>
                <w:rFonts w:ascii="楷体" w:eastAsia="楷体" w:hAnsi="楷体" w:cs="楷体" w:hint="eastAsia"/>
                <w:sz w:val="22"/>
              </w:rPr>
            </w:pPr>
            <w:r>
              <w:rPr>
                <w:rFonts w:ascii="楷体" w:eastAsia="楷体" w:hAnsi="楷体" w:cs="楷体" w:hint="eastAsia"/>
                <w:sz w:val="22"/>
              </w:rPr>
              <w:t xml:space="preserve">杭工商信托-玖盈103号-富阳交通-第三期</w:t>
            </w:r>
          </w:p>
        </w:tc>
        <w:tc>
          <w:tcPr>
            <w:tcW w:w="1275" w:type="dxa"/>
          </w:tcPr>
          <w:p>
            <w:pPr>
              <w:jc w:val="center"/>
              <w:rPr>
                <w:rFonts w:ascii="楷体" w:eastAsia="楷体" w:hAnsi="楷体" w:cs="楷体" w:hint="eastAsia"/>
                <w:sz w:val="22"/>
              </w:rPr>
            </w:pPr>
            <w:r>
              <w:rPr>
                <w:rFonts w:ascii="楷体" w:eastAsia="楷体" w:hAnsi="楷体" w:cs="楷体" w:hint="eastAsia"/>
                <w:sz w:val="22"/>
              </w:rPr>
              <w:t xml:space="preserve">非标准化债权类资产</w:t>
            </w:r>
          </w:p>
        </w:tc>
        <w:tc>
          <w:tcPr>
            <w:tcW w:w="2235" w:type="dxa"/>
          </w:tcPr>
          <w:p>
            <w:pPr>
              <w:jc w:val="center"/>
              <w:rPr>
                <w:rFonts w:ascii="楷体" w:eastAsia="楷体" w:hAnsi="楷体" w:cs="楷体" w:hint="eastAsia"/>
                <w:sz w:val="22"/>
              </w:rPr>
            </w:pPr>
            <w:r>
              <w:rPr>
                <w:rFonts w:ascii="楷体" w:eastAsia="楷体" w:hAnsi="楷体" w:cs="楷体" w:hint="eastAsia"/>
                <w:sz w:val="22"/>
              </w:rPr>
              <w:t xml:space="preserve">9,996,207.25</w:t>
            </w:r>
          </w:p>
        </w:tc>
        <w:tc>
          <w:tcPr>
            <w:tcW w:w="1800" w:type="dxa"/>
          </w:tcPr>
          <w:p>
            <w:pPr>
              <w:jc w:val="center"/>
              <w:rPr>
                <w:rFonts w:ascii="楷体" w:eastAsia="楷体" w:hAnsi="楷体" w:cs="楷体" w:hint="eastAsia"/>
                <w:sz w:val="22"/>
              </w:rPr>
            </w:pPr>
            <w:r>
              <w:rPr>
                <w:rFonts w:ascii="楷体" w:eastAsia="楷体" w:hAnsi="楷体" w:cs="楷体" w:hint="eastAsia"/>
                <w:sz w:val="22"/>
              </w:rPr>
              <w:t xml:space="preserve">45.33%</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553,333.92</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2.51%</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24中信银行CD337</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140,822.44</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0.64%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25建设银行CD006</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140,588.37</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0.64%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24广发Y2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权益类投资</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88,022.20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0.40%</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22中国银行二级01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85,219.48</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0.39%</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25国开05</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84,452.37</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0.38%</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25农业银行CD112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84,062.85</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0.38%</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25农业银行CD131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83,951.98</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0.38%</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17吴中国太专项债</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63,481.05</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0.29%</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杭州富阳交通发展投资集团有限公司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杭工商信托-玖盈103号-富阳交通-第三期</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816</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按季付息到期一次还本</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投资信托计划产品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杭州富阳交通发展投资集团有限公司</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2007-12-14</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1,000,000,000.00</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一般项目：股权投资；土地整治服务；物业管理；城市绿化管理；工程管理服务；新材料技术推广服务；园区管理服务；有色金属合金销售；建筑材料销售；新能源汽车整车销售；交通设施维修；房屋拆迁服务；汽车销售(除依法须经批准的项目外，凭营业执照依法自主开展经营活动)。许可项目：建设工程施工；城市公共交通；公路管理与养护；道路旅客运输站经营；港口经营；房地产开发经营(依法须经批准的项目，经相关部门批准后方可开展经营活动，具体经营项目以审批结果为准)。</w:t>
            </w:r>
          </w:p>
        </w:tc>
      </w:tr>
    </w:tbl>
    <w:p>
      <w:pPr>
        <w:pStyle w:val="标题4"/>
        <w:rPr>
          <w:rFonts w:ascii="楷体" w:eastAsia="楷体" w:hAnsi="楷体" w:cs="楷体" w:hint="eastAsia"/>
        </w:rPr>
      </w:pPr>
    </w:p>
    <w:p>
      <w:pPr>
        <w:pStyle w:val="Heading3"/>
        <w:rPr>
          <w:rFonts w:ascii="楷体" w:eastAsia="楷体" w:hAnsi="楷体" w:cs="楷体" w:hint="eastAsia"/>
          <w:b w:val="0"/>
          <w:sz w:val="21"/>
        </w:rPr>
      </w:pPr>
      <w:r>
        <w:rPr>
          <w:rFonts w:ascii="楷体" w:eastAsia="楷体" w:hAnsi="楷体" w:cs="楷体" w:hint="eastAsia"/>
          <w:b w:val="0"/>
          <w:sz w:val="21"/>
        </w:rPr>
        <w:t xml:space="preserve">（四）关联交易情况</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NETA20201230000002</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江苏信托鼎泰1号集合资金信托计划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11,733,134.00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14,303,000.00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10,660.97</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2,132.18</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注：本报告中理财产品托管费、代销费、直销费均基于产品实际支付金额进行统计。</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2025-06-30</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21,289,737.00</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2025-03-31</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21,289,737.00</w:t>
            </w:r>
          </w:p>
        </w:tc>
      </w:tr>
    </w:tbl>
    <w:p>
      <w:pPr>
        <w:pStyle w:val="标题4"/>
        <w:rPr>
          <w:rFonts w:ascii="楷体" w:eastAsia="楷体" w:hAnsi="楷体" w:cs="楷体" w:hint="eastAsia"/>
        </w:rPr>
      </w:pPr>
    </w:p>
    <w:p>
      <w:pPr>
        <w:pStyle w:val="Heading3"/>
        <w:rPr>
          <w:rFonts w:ascii="楷体" w:eastAsia="楷体" w:hAnsi="楷体" w:cs="楷体" w:hint="eastAsia"/>
          <w:spacing w:val="0"/>
        </w:rPr>
      </w:pPr>
      <w:bookmarkStart w:id="1" w:name="_GoBack"/>
      <w:r>
        <w:rPr>
          <w:rFonts w:ascii="楷体" w:eastAsia="楷体" w:hAnsi="楷体" w:cs="楷体" w:hint="eastAsia"/>
          <w:spacing w:val="0"/>
        </w:rPr>
        <w:t xml:space="preserve">四</w:t>
      </w:r>
      <w:r>
        <w:rPr>
          <w:rFonts w:ascii="楷体" w:hAnsi="楷体" w:cs="楷体" w:hint="eastAsia"/>
          <w:spacing w:val="0"/>
          <w:lang w:eastAsia="zh-CN"/>
        </w:rPr>
        <w:t xml:space="preserve">、</w:t>
      </w:r>
      <w:r>
        <w:rPr>
          <w:rFonts w:ascii="楷体" w:eastAsia="楷体" w:hAnsi="楷体" w:cs="楷体" w:hint="eastAsia"/>
          <w:spacing w:val="0"/>
        </w:rPr>
        <w:t xml:space="preserve">投资运作情况</w:t>
      </w: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1、运作期回顾</w:t>
      </w:r>
    </w:p>
    <w:p>
      <w:pPr>
        <w:pStyle w:val="BodyText"/>
        <w:spacing w:before="0" w:line="240" w:lineRule="auto"/>
        <w:ind w:left="0" w:right="0" w:firstLine="0" w:firstLineChars="0"/>
        <w:rPr>
          <w:rFonts w:ascii="楷体" w:eastAsia="楷体" w:hAnsi="楷体" w:cs="楷体" w:hint="eastAsia"/>
          <w:spacing w:val="0"/>
          <w:sz w:val="21"/>
          <w:szCs w:val="21"/>
        </w:rPr>
      </w:pPr>
      <w:r>
        <w:rPr>
          <w:rFonts w:ascii="楷体" w:eastAsia="楷体" w:hAnsi="楷体" w:cs="楷体" w:hint="eastAsia"/>
          <w:spacing w:val="0"/>
          <w:sz w:val="21"/>
          <w:szCs w:val="21"/>
        </w:rPr>
        <w:t xml:space="preserve">    本理财产品以固收类资产和非标资产为主，采用低波稳健策略，主要配置优质非标与中高等级债券。上半年债券市场整体呈下行趋势，产品整体表现较为稳健，后续有望继续提供长期稳健收益。</w:t>
      </w:r>
    </w:p>
    <w:p>
      <w:pPr>
        <w:pStyle w:val="BodyText"/>
        <w:spacing w:before="0" w:line="240" w:lineRule="auto"/>
        <w:ind w:left="0" w:right="0" w:firstLine="0" w:firstLineChars="0"/>
        <w:rPr>
          <w:rFonts w:ascii="楷体" w:eastAsia="楷体" w:hAnsi="楷体" w:cs="楷体" w:hint="eastAsia"/>
          <w:spacing w:val="0"/>
          <w:sz w:val="21"/>
          <w:szCs w:val="21"/>
        </w:rPr>
      </w:pP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2、后市展望及下阶段投资策略</w:t>
      </w:r>
    </w:p>
    <w:p>
      <w:pPr>
        <w:pStyle w:val="BodyText"/>
        <w:spacing w:before="0" w:line="240" w:lineRule="auto"/>
        <w:ind w:left="0" w:right="0" w:firstLine="0" w:firstLineChars="0"/>
        <w:jc w:val="left"/>
        <w:rPr>
          <w:rFonts w:ascii="楷体" w:eastAsia="楷体" w:hAnsi="楷体" w:cs="楷体" w:hint="eastAsia"/>
          <w:spacing w:val="0"/>
          <w:sz w:val="21"/>
          <w:szCs w:val="21"/>
        </w:rPr>
      </w:pPr>
      <w:r>
        <w:rPr>
          <w:rFonts w:ascii="楷体" w:eastAsia="楷体" w:hAnsi="楷体" w:cs="楷体" w:hint="eastAsia"/>
          <w:spacing w:val="0"/>
          <w:sz w:val="21"/>
          <w:szCs w:val="21"/>
        </w:rPr>
        <w:t xml:space="preserve">    基本面方面，上半年我国经济顶住压力实现较高增长，GDP同比增速录得5.3%，其中一、二季度GDP分别增长5.4%、5.2%。上半年我国社零额累计实现5%的增长，较一季度增加1.5个百分点，且高于去年全年水平，消费整体仍延续改善的趋势。新动能持续形成高贡献，外需相关行业生产边际修复，但与内需挂钩的上游工业生产仍然偏弱。债市方面，2025年上半年债市呈高波动、重交易的特征，债券收益率曲线平坦化。债市收益率先上后下。年初十年国债收益率围绕1.6%左右震荡。2月以来，央行流动性紧缩叠加股市快速上涨等因素，十年期国债收益率快速上升至1.88%左右。二季度在中美贸易摩擦和央行降准降息的背景下，国债收益率快速下行至1.65%左右，随后维持震荡态势直到季末。展望下半年，在股市强势上涨及风险偏好上升的背景下，债市预计延续震荡格局。但从近期国内基本面数据来看，三季度以来的内部变化弱于预期，需求修复转弱，下半年降准降息等政策仍有较大的可能性。后续若股市进入登顶回落期，风险偏好反转，债市或走向修复。</w:t>
      </w:r>
      <w:r>
        <w:rPr>
          <w:rFonts w:ascii="楷体" w:eastAsia="楷体" w:hAnsi="楷体" w:cs="楷体" w:hint="eastAsia"/>
          <w:spacing w:val="0"/>
          <w:sz w:val="21"/>
          <w:szCs w:val="21"/>
        </w:rPr>
        <w:br/>
      </w:r>
      <w:r>
        <w:rPr>
          <w:rFonts w:ascii="楷体" w:eastAsia="楷体" w:hAnsi="楷体" w:cs="楷体" w:hint="eastAsia"/>
          <w:spacing w:val="0"/>
          <w:sz w:val="21"/>
          <w:szCs w:val="21"/>
        </w:rPr>
        <w:t xml:space="preserve">    未来，根据市场动态变化，控制组合久期处于合理稳健区间。资产配置上兼顾安全性、流动性和收益性，坚守风险合规底线，紧密跟踪市场变化，强化投资研究分析，致力于为广大投资者创造长期稳健的投资回报。</w:t>
      </w:r>
    </w:p>
    <w:p>
      <w:pPr>
        <w:ind w:firstLine="0" w:firstLineChars="0"/>
        <w:rPr>
          <w:rFonts w:ascii="楷体" w:eastAsia="楷体" w:hAnsi="楷体" w:cs="楷体" w:hint="eastAsia"/>
          <w:bCs/>
          <w:spacing w:val="0"/>
          <w:kern w:val="0"/>
          <w:sz w:val="21"/>
          <w:szCs w:val="21"/>
        </w:rPr>
      </w:pP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3、流动性风险分析</w:t>
      </w:r>
    </w:p>
    <w:p>
      <w:pPr>
        <w:pStyle w:val="BodyText"/>
        <w:spacing w:before="0" w:line="240" w:lineRule="auto"/>
        <w:ind w:left="0" w:right="0" w:firstLine="0" w:firstLineChars="0"/>
        <w:rPr>
          <w:rFonts w:ascii="楷体" w:eastAsia="楷体" w:hAnsi="楷体" w:cs="楷体" w:hint="eastAsia"/>
          <w:spacing w:val="0"/>
          <w:sz w:val="21"/>
          <w:szCs w:val="21"/>
        </w:rPr>
      </w:pPr>
      <w:r>
        <w:rPr>
          <w:rFonts w:ascii="楷体" w:eastAsia="楷体" w:hAnsi="楷体" w:cs="楷体" w:hint="eastAsia"/>
          <w:spacing w:val="0"/>
          <w:sz w:val="21"/>
          <w:szCs w:val="21"/>
        </w:rPr>
        <w:t xml:space="preserve">    本产品持仓优质非标资产与低波债券专户，抗市场波动能力较强，通过组合久期管理、流动性指标监测等多项措施持续加强久期与流动性管理，有效控制产品的流动性风险。</w:t>
      </w:r>
      <w:bookmarkEnd w:id="1"/>
    </w:p>
    <w:p>
      <w:pPr>
        <w:pStyle w:val="BodyText"/>
        <w:spacing w:before="0" w:line="240" w:lineRule="auto"/>
        <w:ind w:left="0" w:right="0" w:firstLine="0" w:firstLineChars="0"/>
        <w:rPr>
          <w:rFonts w:ascii="楷体" w:eastAsia="楷体" w:hAnsi="楷体" w:cs="楷体" w:hint="eastAsia"/>
          <w:spacing w:val="9"/>
          <w:sz w:val="21"/>
        </w:rPr>
      </w:pPr>
    </w:p>
    <w:p>
      <w:pPr>
        <w:pStyle w:val="Heading3"/>
        <w:rPr>
          <w:rFonts w:ascii="楷体" w:hAnsi="楷体"/>
          <w:sz w:val="24"/>
          <w:szCs w:val="24"/>
        </w:rPr>
      </w:pPr>
      <w:r>
        <w:rPr>
          <w:rFonts w:ascii="楷体" w:hAnsi="楷体" w:hint="eastAsia"/>
          <w:sz w:val="24"/>
          <w:szCs w:val="24"/>
        </w:rPr>
        <w:t xml:space="preserve">五</w:t>
      </w:r>
      <w:r>
        <w:rPr>
          <w:rFonts w:ascii="楷体" w:hAnsi="楷体" w:hint="eastAsia"/>
          <w:sz w:val="24"/>
          <w:szCs w:val="24"/>
          <w:lang w:eastAsia="zh-CN"/>
        </w:rPr>
        <w:t xml:space="preserve">、</w:t>
      </w:r>
      <w:r>
        <w:rPr>
          <w:rFonts w:ascii="楷体" w:hAnsi="楷体" w:hint="eastAsia"/>
          <w:sz w:val="24"/>
          <w:szCs w:val="24"/>
        </w:rPr>
        <w:t xml:space="preserve">托管人报告</w:t>
      </w:r>
    </w:p>
    <w:p>
      <w:pPr>
        <w:ind w:firstLine="420" w:firstLineChars="200"/>
        <w:jc w:val="left"/>
        <w:rPr>
          <w:rFonts w:ascii="楷体" w:eastAsia="楷体" w:hAnsi="楷体" w:cs="楷体" w:hint="eastAsia"/>
          <w:spacing w:val="9"/>
          <w:sz w:val="21"/>
          <w:szCs w:val="21"/>
        </w:rPr>
      </w:pPr>
      <w:r>
        <w:rPr>
          <w:rFonts w:ascii="楷体" w:eastAsia="楷体" w:hAnsi="楷体" w:hint="eastAsia"/>
          <w:bCs/>
          <w:kern w:val="0"/>
          <w:sz w:val="21"/>
          <w:szCs w:val="21"/>
        </w:rPr>
        <w:t xml:space="preserve">在本报告期内，托管人严格遵守有关法律法规、托管协议关于托管人职责的约定，尽职尽责地履行了托管职责。在管理人提供的各项数据和信息真实、准确、有效的前提下，在托管人能够知悉和掌握的情况范围内，托管人对财务数据进行了复核，未发现存在虚假记载、误导性陈述或者重大遗漏的情形。</w:t>
      </w: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2025年06月30日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3539"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3541"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3542"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3544"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0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nnotationreference">
    <w:name w:val="annotation reference"/>
    <w:uiPriority w:val="99"/>
    <w:unhideWhenUsed/>
    <w:qFormat/>
    <w:rPr>
      <w:sz w:val="21"/>
      <w:szCs w:val="21"/>
    </w:r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jsyh</cp:lastModifiedBy>
  <dcterms:modified xsi:type="dcterms:W3CDTF">2025-08-22T09:29:50Z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4</TotalTime>
  <ScaleCrop>false</ScaleCrop>
  <LinksUpToDate>false</LinksUpToDate>
  <CharactersWithSpaces>2803</CharactersWithSpaces>
  <Application>WPS Office_11.8.2.10321_F1E327BC-269C-435d-A152-05C5408002CA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2052-11.8.2.10321</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4</TotalTime>
  <Pages>4</Pages>
  <Words>419</Words>
  <Characters>2389</Characters>
  <Application>WPS Office_11.8.2.10321_F1E327BC-269C-435d-A152-05C5408002CA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jsyh</cp:lastModifiedBy>
  <cp:revision>22</cp:revision>
  <dcterms:created xsi:type="dcterms:W3CDTF">2021-11-18T10:04:00Z</dcterms:created>
  <dcterms:modified xsi:type="dcterms:W3CDTF">2025-08-22T10:24:04Z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2052-11.8.2.10321</vt:lpstr>
  </property>
  <property fmtid="{D5CDD505-2E9C-101B-9397-08002B2CF9AE}" pid="3" name="ICV">
    <vt:lpstr>31802637FF8E4298AD1DCE61A946E12D</vt:lpstr>
  </property>
</Properties>
</file>