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苏银理财恒源最短持有30天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苏银理财恒源最短持有30天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2023年12月15日</w:t>
      </w:r>
      <w:r>
        <w:rPr>
          <w:rFonts w:hint="eastAsia" w:ascii="楷体" w:hAnsi="楷体" w:eastAsia="楷体" w:cs="楷体"/>
        </w:rPr>
        <w:t>成立，于</w:t>
      </w:r>
      <w:r>
        <w:rPr>
          <w:rFonts w:hint="eastAsia" w:ascii="楷体" w:hAnsi="楷体" w:eastAsia="楷体" w:cs="楷体"/>
          <w:spacing w:val="-7"/>
        </w:rPr>
        <w:t>2023年12月15日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苏银理财恒源最短持有30天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10,575,245,319.54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11,006,764,257.31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31000188000565117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11,008,573,432.56</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100.02%</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苏银理财恒源最短持有30天H</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1.041681</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1.041681</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2.10%-2.80%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苏银理财恒源最短持有30天JS鑫福款</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1.040121</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1.040121</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苏银理财恒源最短持有30天（代发专享）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1.040349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1.040349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苏银理财恒源最短持有30天（私享款）</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1.040994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1.040994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2.30%-3.00%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1.039416</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1.039416</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苏银理财恒源最短持有30天C</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1.040582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1.040582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苏银理财恒源最短持有30天D</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1.041412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1.041412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2.10%-2.80%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苏银理财恒源最短持有30天E</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1.039454</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1.039454</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2.00%-2.70%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苏银理财恒源最短持有30天J</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1.041339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1.041339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2.30%-3.00%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21.10%</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1.78%</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22.88%</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77.12%</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913,914,259.49</w:t>
            </w:r>
          </w:p>
        </w:tc>
        <w:tc>
          <w:tcPr>
            <w:tcW w:w="1800" w:type="dxa"/>
          </w:tcPr>
          <w:p>
            <w:pPr>
              <w:jc w:val="center"/>
              <w:rPr>
                <w:rFonts w:hint="eastAsia" w:ascii="楷体" w:hAnsi="楷体" w:eastAsia="楷体" w:cs="楷体"/>
                <w:sz w:val="22"/>
              </w:rPr>
            </w:pPr>
            <w:r>
              <w:rPr>
                <w:rFonts w:hint="eastAsia" w:ascii="楷体" w:hAnsi="楷体" w:eastAsia="楷体" w:cs="楷体"/>
                <w:sz w:val="22"/>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24上海银行二级资本债01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267,687,912.33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24农行永续债03BC</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257,516,072.41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中国农业银行昆山分行202311097219</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242,047,145.65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24浦发银行二级资本债01A</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188,431,567.01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24宁波银行二级资本债02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150,588,855.59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工商银行宜兴支行20（20230728）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142,578,150.93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工商银行海州支行20（20230728）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142,578,150.93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24邮储永续债01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140,053,788.43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24徽商银行永续债01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132,856,756.99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1.15%</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ZZGL202109150141</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87,436,510.00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ZZGL202504091187</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199,819,567.00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200,000,000.00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ZZGL202504091190</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江苏信托安源6号集合资金信托计划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885,605,503.00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1,080,000,000.00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4,417,872,974.40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5,742,455.40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1,391,163.80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389,000,000.00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30,000,000.00</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10,575,245,319.54</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12,789,581,078.76</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w:t>
      </w:r>
      <w:r>
        <w:rPr>
          <w:rFonts w:hint="eastAsia" w:ascii="楷体" w:hAnsi="楷体" w:cs="楷体"/>
          <w:lang w:eastAsia="zh-CN"/>
        </w:rPr>
        <w:t>、</w:t>
      </w:r>
      <w:r>
        <w:rPr>
          <w:rFonts w:hint="eastAsia" w:ascii="楷体" w:hAnsi="楷体" w:eastAsia="楷体" w:cs="楷体"/>
        </w:rPr>
        <w:t>投资运作情况</w:t>
      </w:r>
    </w:p>
    <w:p>
      <w:pPr>
        <w:rPr>
          <w:rFonts w:hint="eastAsia" w:ascii="楷体" w:hAnsi="楷体" w:eastAsia="楷体"/>
          <w:bCs/>
          <w:kern w:val="0"/>
          <w:sz w:val="21"/>
          <w:szCs w:val="21"/>
        </w:rPr>
      </w:pPr>
      <w:r>
        <w:rPr>
          <w:rFonts w:hint="eastAsia" w:ascii="楷体" w:hAnsi="楷体" w:eastAsia="楷体"/>
          <w:bCs/>
          <w:kern w:val="0"/>
          <w:sz w:val="21"/>
          <w:szCs w:val="21"/>
        </w:rPr>
        <w:t>1、运作期回顾</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2025年上半年债市呈高波动、重交易的特征，债券收益率曲线平坦化</w:t>
      </w:r>
      <w:r>
        <w:rPr>
          <w:rFonts w:hint="eastAsia" w:ascii="楷体" w:hAnsi="楷体" w:eastAsia="楷体"/>
          <w:bCs/>
          <w:kern w:val="0"/>
          <w:sz w:val="21"/>
          <w:szCs w:val="21"/>
          <w:lang w:eastAsia="zh-CN"/>
        </w:rPr>
        <w:t>。</w:t>
      </w:r>
      <w:r>
        <w:rPr>
          <w:rFonts w:hint="eastAsia" w:ascii="楷体" w:hAnsi="楷体" w:eastAsia="楷体"/>
          <w:bCs/>
          <w:kern w:val="0"/>
          <w:sz w:val="21"/>
          <w:szCs w:val="21"/>
        </w:rPr>
        <w:t>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w:t>
      </w:r>
      <w:r>
        <w:rPr>
          <w:rFonts w:hint="eastAsia" w:ascii="楷体" w:hAnsi="楷体" w:eastAsia="楷体"/>
          <w:bCs/>
          <w:kern w:val="0"/>
          <w:sz w:val="21"/>
          <w:szCs w:val="21"/>
          <w:lang w:val="en-US" w:eastAsia="zh-CN"/>
        </w:rPr>
        <w:t>。</w:t>
      </w:r>
    </w:p>
    <w:p>
      <w:pPr>
        <w:ind w:firstLine="420" w:firstLineChars="200"/>
        <w:rPr>
          <w:rFonts w:hint="eastAsia" w:ascii="楷体" w:hAnsi="楷体" w:eastAsia="楷体"/>
          <w:bCs/>
          <w:kern w:val="0"/>
          <w:sz w:val="21"/>
          <w:szCs w:val="21"/>
          <w:lang w:val="en-US" w:eastAsia="zh-CN"/>
        </w:rPr>
      </w:pPr>
      <w:r>
        <w:rPr>
          <w:rFonts w:hint="eastAsia" w:ascii="楷体" w:hAnsi="楷体" w:eastAsia="楷体"/>
          <w:bCs/>
          <w:kern w:val="0"/>
          <w:sz w:val="21"/>
          <w:szCs w:val="21"/>
        </w:rPr>
        <w:t>苏银理财恒源最短持有30天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ind w:firstLine="420" w:firstLineChars="200"/>
        <w:rPr>
          <w:rFonts w:hint="eastAsia" w:ascii="楷体" w:hAnsi="楷体" w:eastAsia="楷体"/>
          <w:bCs/>
          <w:kern w:val="0"/>
          <w:sz w:val="21"/>
          <w:szCs w:val="21"/>
        </w:rPr>
      </w:pPr>
    </w:p>
    <w:p>
      <w:pPr>
        <w:rPr>
          <w:rFonts w:hint="eastAsia" w:ascii="楷体" w:hAnsi="楷体" w:eastAsia="楷体"/>
          <w:bCs/>
          <w:kern w:val="0"/>
          <w:sz w:val="21"/>
          <w:szCs w:val="21"/>
        </w:rPr>
      </w:pPr>
      <w:r>
        <w:rPr>
          <w:rFonts w:hint="eastAsia" w:ascii="楷体" w:hAnsi="楷体" w:eastAsia="楷体"/>
          <w:bCs/>
          <w:kern w:val="0"/>
          <w:sz w:val="21"/>
          <w:szCs w:val="21"/>
        </w:rPr>
        <w:t>2、后市展望及下阶段投资策略</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lang w:val="en-US" w:eastAsia="zh-CN"/>
        </w:rPr>
        <w:t>基本面来看，</w:t>
      </w:r>
      <w:r>
        <w:rPr>
          <w:rFonts w:hint="eastAsia" w:ascii="楷体" w:hAnsi="楷体" w:eastAsia="楷体"/>
          <w:bCs/>
          <w:kern w:val="0"/>
          <w:sz w:val="21"/>
          <w:szCs w:val="21"/>
        </w:rPr>
        <w:t>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展望下</w:t>
      </w:r>
      <w:r>
        <w:rPr>
          <w:rFonts w:hint="eastAsia" w:ascii="楷体" w:hAnsi="楷体" w:eastAsia="楷体"/>
          <w:bCs/>
          <w:kern w:val="0"/>
          <w:sz w:val="21"/>
          <w:szCs w:val="21"/>
          <w:lang w:val="en-US" w:eastAsia="zh-CN"/>
        </w:rPr>
        <w:t>阶段</w:t>
      </w:r>
      <w:r>
        <w:rPr>
          <w:rFonts w:hint="eastAsia" w:ascii="楷体" w:hAnsi="楷体" w:eastAsia="楷体"/>
          <w:bCs/>
          <w:kern w:val="0"/>
          <w:sz w:val="21"/>
          <w:szCs w:val="21"/>
        </w:rPr>
        <w:t>，在面临宏观环境不确定性增强的大环境下，货币政策将保持适度宽松，利率大幅上行的风险相对较低。同时，也需要密切关注与跟踪海外的不确定性以及全球的地缘政治风险。</w:t>
      </w:r>
    </w:p>
    <w:p>
      <w:pPr>
        <w:ind w:firstLine="420" w:firstLineChars="200"/>
        <w:rPr>
          <w:rFonts w:hint="eastAsia" w:ascii="楷体" w:hAnsi="楷体" w:eastAsia="楷体"/>
          <w:bCs/>
          <w:kern w:val="0"/>
          <w:sz w:val="21"/>
          <w:szCs w:val="21"/>
        </w:rPr>
      </w:pPr>
    </w:p>
    <w:p>
      <w:pPr>
        <w:rPr>
          <w:rFonts w:hint="eastAsia" w:ascii="楷体" w:hAnsi="楷体" w:eastAsia="楷体"/>
          <w:bCs/>
          <w:kern w:val="0"/>
          <w:sz w:val="21"/>
          <w:szCs w:val="21"/>
        </w:rPr>
      </w:pPr>
      <w:r>
        <w:rPr>
          <w:rFonts w:hint="eastAsia" w:ascii="楷体" w:hAnsi="楷体" w:eastAsia="楷体"/>
          <w:bCs/>
          <w:kern w:val="0"/>
          <w:sz w:val="21"/>
          <w:szCs w:val="21"/>
          <w:lang w:val="en-US" w:eastAsia="zh-CN"/>
        </w:rPr>
        <w:t>3、</w:t>
      </w:r>
      <w:r>
        <w:rPr>
          <w:rFonts w:hint="eastAsia" w:ascii="楷体" w:hAnsi="楷体" w:eastAsia="楷体"/>
          <w:bCs/>
          <w:kern w:val="0"/>
          <w:sz w:val="21"/>
          <w:szCs w:val="21"/>
        </w:rPr>
        <w:t>流动性风险分析</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bookmarkStart w:id="1" w:name="_GoBack"/>
      <w:bookmarkEnd w:id="1"/>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rPr>
          <w:rFonts w:hint="eastAsia" w:ascii="楷体" w:hAnsi="楷体" w:eastAsia="楷体" w:cs="楷体"/>
          <w:spacing w:val="9"/>
          <w:sz w:val="21"/>
          <w:szCs w:val="21"/>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79"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80"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decimal"/>
      <w:suff w:val="nothing"/>
      <w:lvlText w:val="%1）"/>
      <w:lvlJc w:val="left"/>
    </w:lvl>
  </w:abstractNum>
  <w:abstractNum w:abstractNumId="1">
    <w:nsid w:val="59ADCABA"/>
    <w:multiLevelType w:val="singleLevel"/>
    <w:tmpl w:val="59ADCAB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6C5A78C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79"/>
    <customShpInfo spid="_x0000_s2049"/>
    <customShpInfo spid="_x0000_s2080"/>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2025-08-01T01:50:06Z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14e5b-fb62-45a4-bacf-f679b4905c3f}">
  <ds:schemaRefs/>
</ds:datastoreItem>
</file>

<file path=customXml/itemProps3.xml><?xml version="1.0" encoding="utf-8"?>
<ds:datastoreItem xmlns:ds="http://schemas.openxmlformats.org/officeDocument/2006/customXml" ds:itemID="{a772f64c-7b89-4ed1-b036-be7ccc7a5cf9}">
  <ds:schemaRefs/>
</ds:datastoreItem>
</file>

<file path=customXml/itemProps4.xml><?xml version="1.0" encoding="utf-8"?>
<ds:datastoreItem xmlns:ds="http://schemas.openxmlformats.org/officeDocument/2006/customXml" ds:itemID="{c2edd98d-d9d6-410b-8f5e-8f3688c12266}">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2025-08-25T07:02:30Z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6E0C26A204724F8EBA5FC337559FBA60</vt:lpwstr>
  </property>
</Properties>
</file>