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before="0" w:beforeAutospacing="0" w:after="0" w:afterAutospacing="0"/>
        <w:jc w:val="center"/>
        <w:rPr>
          <w:rFonts w:hint="eastAsia" w:ascii="楷体" w:hAnsi="楷体" w:eastAsia="楷体" w:cs="楷体"/>
          <w:b/>
          <w:sz w:val="36"/>
          <w:szCs w:val="36"/>
        </w:rPr>
      </w:pPr>
      <w:r>
        <w:rPr>
          <w:rFonts w:hint="eastAsia" w:ascii="楷体" w:hAnsi="楷体" w:eastAsia="楷体" w:cs="楷体"/>
          <w:b/>
          <w:sz w:val="36"/>
          <w:szCs w:val="36"/>
        </w:rPr>
        <w:t>“</w:t>
      </w:r>
      <w:r>
        <w:rPr>
          <w:rFonts w:hint="eastAsia" w:ascii="楷体" w:hAnsi="楷体" w:eastAsia="楷体" w:cs="楷体"/>
          <w:b/>
          <w:bCs/>
          <w:spacing w:val="-1"/>
          <w:sz w:val="36"/>
          <w:szCs w:val="36"/>
        </w:rPr>
        <w:t>苏银理财恒源最短持有7天</w:t>
      </w:r>
      <w:r>
        <w:rPr>
          <w:rFonts w:hint="eastAsia" w:ascii="楷体" w:hAnsi="楷体" w:eastAsia="楷体" w:cs="楷体"/>
          <w:b/>
          <w:sz w:val="36"/>
          <w:szCs w:val="36"/>
        </w:rPr>
        <w:t>”理财产品</w:t>
      </w:r>
    </w:p>
    <w:p>
      <w:pPr>
        <w:pStyle w:val="8"/>
        <w:spacing w:before="0" w:beforeAutospacing="0" w:after="0" w:afterAutospacing="0"/>
        <w:jc w:val="center"/>
        <w:rPr>
          <w:rFonts w:hint="eastAsia" w:ascii="楷体" w:hAnsi="楷体" w:eastAsia="楷体" w:cs="楷体"/>
          <w:b/>
          <w:sz w:val="36"/>
          <w:szCs w:val="36"/>
        </w:rPr>
      </w:pPr>
      <w:r>
        <w:rPr>
          <w:rFonts w:hint="eastAsia" w:ascii="楷体" w:hAnsi="楷体" w:eastAsia="楷体" w:cs="楷体"/>
          <w:b/>
          <w:bCs/>
          <w:spacing w:val="4"/>
          <w:sz w:val="36"/>
          <w:szCs w:val="36"/>
        </w:rPr>
        <w:t>2025年半年度</w:t>
      </w:r>
      <w:r>
        <w:rPr>
          <w:rFonts w:hint="eastAsia" w:ascii="楷体" w:hAnsi="楷体" w:eastAsia="楷体" w:cs="楷体"/>
          <w:b/>
          <w:sz w:val="36"/>
          <w:szCs w:val="36"/>
        </w:rPr>
        <w:t>投资管理报告</w:t>
      </w:r>
    </w:p>
    <w:p>
      <w:pPr>
        <w:pStyle w:val="8"/>
        <w:spacing w:before="0" w:beforeAutospacing="0" w:after="0" w:afterAutospacing="0" w:line="360" w:lineRule="auto"/>
        <w:rPr>
          <w:rFonts w:hint="eastAsia" w:ascii="楷体" w:hAnsi="楷体" w:eastAsia="楷体" w:cs="楷体"/>
        </w:rPr>
      </w:pPr>
      <w:r>
        <w:rPr>
          <w:rFonts w:hint="eastAsia" w:ascii="楷体" w:hAnsi="楷体" w:eastAsia="楷体" w:cs="楷体"/>
        </w:rPr>
        <w:t>尊敬的投资者：</w:t>
      </w:r>
    </w:p>
    <w:p>
      <w:pPr>
        <w:pStyle w:val="8"/>
        <w:spacing w:before="0" w:beforeAutospacing="0" w:after="0" w:afterAutospacing="0" w:line="360" w:lineRule="auto"/>
        <w:ind w:firstLine="566" w:firstLineChars="236"/>
        <w:rPr>
          <w:rFonts w:hint="eastAsia" w:ascii="楷体" w:hAnsi="楷体" w:eastAsia="楷体" w:cs="楷体"/>
        </w:rPr>
      </w:pPr>
      <w:r>
        <w:rPr>
          <w:rFonts w:hint="eastAsia" w:ascii="楷体" w:hAnsi="楷体" w:eastAsia="楷体" w:cs="楷体"/>
        </w:rPr>
        <w:t>“</w:t>
      </w:r>
      <w:r>
        <w:rPr>
          <w:rFonts w:hint="eastAsia" w:ascii="楷体" w:hAnsi="楷体" w:eastAsia="楷体" w:cs="楷体"/>
          <w:spacing w:val="-7"/>
        </w:rPr>
        <w:t>苏银理财恒源最短持有7天</w:t>
      </w:r>
      <w:r>
        <w:rPr>
          <w:rFonts w:hint="eastAsia" w:ascii="楷体" w:hAnsi="楷体" w:eastAsia="楷体" w:cs="楷体"/>
        </w:rPr>
        <w:t>”理财产品于</w:t>
      </w:r>
      <w:r>
        <w:rPr>
          <w:rFonts w:hint="eastAsia" w:ascii="楷体" w:hAnsi="楷体" w:eastAsia="楷体" w:cs="楷体"/>
          <w:spacing w:val="-53"/>
        </w:rPr>
        <w:t xml:space="preserve"> </w:t>
      </w:r>
      <w:r>
        <w:rPr>
          <w:rFonts w:hint="eastAsia" w:ascii="楷体" w:hAnsi="楷体" w:eastAsia="楷体" w:cs="楷体"/>
          <w:spacing w:val="-7"/>
        </w:rPr>
        <w:t>2023年07月20日</w:t>
      </w:r>
      <w:r>
        <w:rPr>
          <w:rFonts w:hint="eastAsia" w:ascii="楷体" w:hAnsi="楷体" w:eastAsia="楷体" w:cs="楷体"/>
        </w:rPr>
        <w:t>成立，于</w:t>
      </w:r>
      <w:r>
        <w:rPr>
          <w:rFonts w:hint="eastAsia" w:ascii="楷体" w:hAnsi="楷体" w:eastAsia="楷体" w:cs="楷体"/>
          <w:spacing w:val="-7"/>
        </w:rPr>
        <w:t>2023年07月20日</w:t>
      </w:r>
      <w:r>
        <w:rPr>
          <w:rFonts w:hint="eastAsia" w:ascii="楷体" w:hAnsi="楷体" w:eastAsia="楷体" w:cs="楷体"/>
        </w:rPr>
        <w:t>正式投资运作。</w:t>
      </w:r>
    </w:p>
    <w:p>
      <w:pPr>
        <w:pStyle w:val="8"/>
        <w:spacing w:before="0" w:beforeAutospacing="0" w:after="0" w:afterAutospacing="0" w:line="360" w:lineRule="auto"/>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一</w:t>
      </w:r>
      <w:bookmarkStart w:id="0" w:name="_Toc535504139"/>
      <w:r>
        <w:rPr>
          <w:rFonts w:hint="eastAsia" w:ascii="楷体" w:hAnsi="楷体" w:eastAsia="楷体" w:cs="楷体"/>
        </w:rPr>
        <w:t>、产品基本情况</w:t>
      </w:r>
      <w:bookmarkEnd w:id="0"/>
    </w:p>
    <w:tbl>
      <w:tblPr>
        <w:tblStyle w:val="9"/>
        <w:tblW w:w="86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74"/>
        <w:gridCol w:w="3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产品名称</w:t>
            </w:r>
          </w:p>
        </w:tc>
        <w:tc>
          <w:tcPr>
            <w:tcW w:w="3847" w:type="dxa"/>
          </w:tcPr>
          <w:p>
            <w:pPr>
              <w:pStyle w:val="25"/>
              <w:spacing w:before="56" w:line="202" w:lineRule="auto"/>
              <w:jc w:val="center"/>
              <w:rPr>
                <w:rFonts w:hint="eastAsia" w:ascii="楷体" w:hAnsi="楷体" w:eastAsia="楷体" w:cs="楷体"/>
                <w:sz w:val="24"/>
                <w:szCs w:val="24"/>
                <w:highlight w:val="yellow"/>
              </w:rPr>
            </w:pPr>
            <w:r>
              <w:rPr>
                <w:rFonts w:hint="eastAsia" w:ascii="楷体" w:hAnsi="楷体" w:eastAsia="楷体" w:cs="楷体"/>
                <w:spacing w:val="-6"/>
                <w:sz w:val="24"/>
                <w:szCs w:val="24"/>
              </w:rPr>
              <w:t>苏银理财恒源最短持有7天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全国银行业理财信息登记系统登记编码</w:t>
            </w:r>
          </w:p>
        </w:tc>
        <w:tc>
          <w:tcPr>
            <w:tcW w:w="3847" w:type="dxa"/>
          </w:tcPr>
          <w:p>
            <w:pPr>
              <w:pStyle w:val="25"/>
              <w:spacing w:before="85" w:line="176"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Z7003123000112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产品运作方式</w:t>
            </w:r>
          </w:p>
        </w:tc>
        <w:tc>
          <w:tcPr>
            <w:tcW w:w="3847" w:type="dxa"/>
          </w:tcPr>
          <w:p>
            <w:pPr>
              <w:pStyle w:val="25"/>
              <w:spacing w:before="52" w:line="201" w:lineRule="auto"/>
              <w:jc w:val="center"/>
              <w:rPr>
                <w:rFonts w:hint="eastAsia" w:ascii="楷体" w:hAnsi="楷体" w:eastAsia="楷体" w:cs="楷体"/>
                <w:sz w:val="24"/>
                <w:szCs w:val="24"/>
                <w:highlight w:val="yellow"/>
              </w:rPr>
            </w:pPr>
            <w:r>
              <w:rPr>
                <w:rFonts w:hint="eastAsia" w:ascii="楷体" w:hAnsi="楷体" w:eastAsia="楷体" w:cs="楷体"/>
                <w:spacing w:val="-2"/>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报告期末产品存续份额（份）</w:t>
            </w:r>
          </w:p>
        </w:tc>
        <w:tc>
          <w:tcPr>
            <w:tcW w:w="3847" w:type="dxa"/>
          </w:tcPr>
          <w:p>
            <w:pPr>
              <w:pStyle w:val="25"/>
              <w:spacing w:before="87" w:line="174"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16,162,891,224.38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产品资产净值（元）</w:t>
            </w:r>
          </w:p>
        </w:tc>
        <w:tc>
          <w:tcPr>
            <w:tcW w:w="3847" w:type="dxa"/>
          </w:tcPr>
          <w:p>
            <w:pPr>
              <w:pStyle w:val="25"/>
              <w:spacing w:before="78" w:line="182"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16,942,295,946.28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风险收益特征</w:t>
            </w:r>
          </w:p>
        </w:tc>
        <w:tc>
          <w:tcPr>
            <w:tcW w:w="3847" w:type="dxa"/>
          </w:tcPr>
          <w:p>
            <w:pPr>
              <w:pStyle w:val="25"/>
              <w:spacing w:before="54" w:line="200" w:lineRule="auto"/>
              <w:jc w:val="center"/>
              <w:rPr>
                <w:rFonts w:hint="eastAsia" w:ascii="楷体" w:hAnsi="楷体" w:eastAsia="楷体" w:cs="楷体"/>
                <w:sz w:val="24"/>
                <w:szCs w:val="24"/>
                <w:highlight w:val="yellow"/>
              </w:rPr>
            </w:pPr>
            <w:r>
              <w:rPr>
                <w:rFonts w:hint="eastAsia" w:ascii="楷体" w:hAnsi="楷体" w:eastAsia="楷体" w:cs="楷体"/>
                <w:spacing w:val="-8"/>
                <w:sz w:val="24"/>
                <w:szCs w:val="24"/>
              </w:rPr>
              <w:t>中低风险型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收益类型</w:t>
            </w:r>
          </w:p>
        </w:tc>
        <w:tc>
          <w:tcPr>
            <w:tcW w:w="3847" w:type="dxa"/>
          </w:tcPr>
          <w:p>
            <w:pPr>
              <w:pStyle w:val="25"/>
              <w:spacing w:before="56" w:line="199" w:lineRule="auto"/>
              <w:jc w:val="center"/>
              <w:rPr>
                <w:rFonts w:hint="eastAsia" w:ascii="楷体" w:hAnsi="楷体" w:eastAsia="楷体" w:cs="楷体"/>
                <w:sz w:val="24"/>
                <w:szCs w:val="24"/>
                <w:highlight w:val="yellow"/>
              </w:rPr>
            </w:pPr>
            <w:r>
              <w:rPr>
                <w:rFonts w:hint="eastAsia" w:ascii="楷体" w:hAnsi="楷体" w:eastAsia="楷体" w:cs="楷体"/>
                <w:spacing w:val="-9"/>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管理人</w:t>
            </w:r>
          </w:p>
        </w:tc>
        <w:tc>
          <w:tcPr>
            <w:tcW w:w="3847" w:type="dxa"/>
          </w:tcPr>
          <w:p>
            <w:pPr>
              <w:pStyle w:val="25"/>
              <w:spacing w:before="55" w:line="200" w:lineRule="auto"/>
              <w:jc w:val="center"/>
              <w:rPr>
                <w:rFonts w:hint="eastAsia" w:ascii="楷体" w:hAnsi="楷体" w:eastAsia="楷体" w:cs="楷体"/>
                <w:sz w:val="24"/>
                <w:szCs w:val="24"/>
                <w:highlight w:val="yellow"/>
              </w:rPr>
            </w:pPr>
            <w:r>
              <w:rPr>
                <w:rFonts w:hint="eastAsia" w:ascii="楷体" w:hAnsi="楷体" w:eastAsia="楷体" w:cs="楷体"/>
                <w:spacing w:val="-3"/>
                <w:sz w:val="24"/>
                <w:szCs w:val="24"/>
              </w:rPr>
              <w:t>苏银理财有限责任公司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托管人</w:t>
            </w:r>
          </w:p>
        </w:tc>
        <w:tc>
          <w:tcPr>
            <w:tcW w:w="3847" w:type="dxa"/>
          </w:tcPr>
          <w:p>
            <w:pPr>
              <w:pStyle w:val="25"/>
              <w:spacing w:before="56" w:line="199" w:lineRule="auto"/>
              <w:jc w:val="center"/>
              <w:rPr>
                <w:rFonts w:hint="eastAsia" w:ascii="楷体" w:hAnsi="楷体" w:eastAsia="楷体" w:cs="楷体"/>
                <w:sz w:val="24"/>
                <w:szCs w:val="24"/>
                <w:highlight w:val="yellow"/>
              </w:rPr>
            </w:pPr>
            <w:r>
              <w:rPr>
                <w:rFonts w:hint="eastAsia" w:ascii="楷体" w:hAnsi="楷体" w:eastAsia="楷体" w:cs="楷体"/>
                <w:spacing w:val="-3"/>
                <w:sz w:val="24"/>
                <w:szCs w:val="24"/>
              </w:rPr>
              <w:t>江苏银行股份有限公司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托管账户</w:t>
            </w:r>
          </w:p>
        </w:tc>
        <w:tc>
          <w:tcPr>
            <w:tcW w:w="3847" w:type="dxa"/>
          </w:tcPr>
          <w:p>
            <w:pPr>
              <w:pStyle w:val="25"/>
              <w:spacing w:before="90" w:line="173"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31000188000545047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托管账户开户行</w:t>
            </w:r>
          </w:p>
        </w:tc>
        <w:tc>
          <w:tcPr>
            <w:tcW w:w="3847" w:type="dxa"/>
          </w:tcPr>
          <w:p>
            <w:pPr>
              <w:pStyle w:val="25"/>
              <w:spacing w:before="56" w:line="199" w:lineRule="auto"/>
              <w:jc w:val="center"/>
              <w:rPr>
                <w:rFonts w:hint="eastAsia" w:ascii="楷体" w:hAnsi="楷体" w:eastAsia="楷体" w:cs="楷体"/>
                <w:sz w:val="24"/>
                <w:szCs w:val="24"/>
              </w:rPr>
            </w:pPr>
            <w:r>
              <w:rPr>
                <w:rFonts w:hint="eastAsia" w:ascii="楷体" w:hAnsi="楷体" w:eastAsia="楷体" w:cs="楷体"/>
                <w:spacing w:val="-2"/>
                <w:sz w:val="24"/>
                <w:szCs w:val="24"/>
              </w:rPr>
              <w:t>江苏银行股份有限公司营业部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产品资产总值（元）</w:t>
            </w:r>
          </w:p>
        </w:tc>
        <w:tc>
          <w:tcPr>
            <w:tcW w:w="3847" w:type="dxa"/>
          </w:tcPr>
          <w:p>
            <w:pPr>
              <w:pStyle w:val="25"/>
              <w:spacing w:before="81" w:line="180" w:lineRule="auto"/>
              <w:jc w:val="center"/>
              <w:rPr>
                <w:rFonts w:hint="eastAsia" w:ascii="楷体" w:hAnsi="楷体" w:eastAsia="楷体" w:cs="楷体"/>
                <w:sz w:val="24"/>
                <w:szCs w:val="24"/>
              </w:rPr>
            </w:pPr>
            <w:r>
              <w:rPr>
                <w:rFonts w:hint="eastAsia" w:ascii="楷体" w:hAnsi="楷体" w:eastAsia="楷体" w:cs="楷体"/>
                <w:spacing w:val="-1"/>
                <w:sz w:val="24"/>
                <w:szCs w:val="24"/>
              </w:rPr>
              <w:t>17,705,319,690.97</w:t>
            </w:r>
            <w:r>
              <w:rPr>
                <w:rFonts w:hint="eastAsia" w:ascii="楷体" w:hAnsi="楷体" w:eastAsia="楷体" w:cs="楷体"/>
                <w:spacing w:val="-29"/>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杠杆水平</w:t>
            </w:r>
          </w:p>
        </w:tc>
        <w:tc>
          <w:tcPr>
            <w:tcW w:w="3847" w:type="dxa"/>
          </w:tcPr>
          <w:p>
            <w:pPr>
              <w:pStyle w:val="25"/>
              <w:spacing w:before="56" w:line="202" w:lineRule="auto"/>
              <w:jc w:val="center"/>
              <w:rPr>
                <w:rFonts w:hint="eastAsia" w:ascii="楷体" w:hAnsi="楷体" w:eastAsia="楷体" w:cs="楷体"/>
                <w:sz w:val="24"/>
                <w:szCs w:val="24"/>
              </w:rPr>
            </w:pPr>
            <w:r>
              <w:rPr>
                <w:rFonts w:hint="eastAsia" w:ascii="楷体" w:hAnsi="楷体" w:eastAsia="楷体" w:cs="楷体"/>
                <w:spacing w:val="-4"/>
                <w:sz w:val="24"/>
                <w:szCs w:val="24"/>
              </w:rPr>
              <w:t>104.50%</w:t>
            </w:r>
          </w:p>
        </w:tc>
      </w:tr>
    </w:tbl>
    <w:p>
      <w:pPr>
        <w:pStyle w:val="14"/>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二、产品净值与业绩比较基准</w:t>
      </w:r>
    </w:p>
    <w:tbl>
      <w:tblPr>
        <w:tblStyle w:val="10"/>
        <w:tblW w:w="86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0"/>
        <w:gridCol w:w="2100"/>
        <w:gridCol w:w="1470"/>
        <w:gridCol w:w="1665"/>
        <w:gridCol w:w="1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 w:type="dxa"/>
          </w:tcPr>
          <w:p>
            <w:pPr>
              <w:spacing w:line="320" w:lineRule="exact"/>
              <w:jc w:val="center"/>
              <w:rPr>
                <w:rFonts w:hint="eastAsia" w:ascii="楷体" w:hAnsi="楷体" w:eastAsia="楷体" w:cs="楷体"/>
              </w:rPr>
            </w:pPr>
            <w:r>
              <w:rPr>
                <w:rFonts w:hint="eastAsia" w:ascii="楷体" w:hAnsi="楷体" w:eastAsia="楷体" w:cs="楷体"/>
                <w:sz w:val="24"/>
                <w:szCs w:val="24"/>
              </w:rPr>
              <w:t>报告日期</w:t>
            </w:r>
          </w:p>
        </w:tc>
        <w:tc>
          <w:tcPr>
            <w:tcW w:w="2100" w:type="dxa"/>
          </w:tcPr>
          <w:p>
            <w:pPr>
              <w:spacing w:line="320" w:lineRule="exact"/>
              <w:jc w:val="center"/>
              <w:rPr>
                <w:rFonts w:hint="eastAsia" w:ascii="楷体" w:hAnsi="楷体" w:eastAsia="楷体" w:cs="楷体"/>
              </w:rPr>
            </w:pPr>
            <w:r>
              <w:rPr>
                <w:rFonts w:hint="eastAsia" w:ascii="楷体" w:hAnsi="楷体" w:eastAsia="楷体" w:cs="楷体"/>
                <w:sz w:val="24"/>
                <w:szCs w:val="24"/>
              </w:rPr>
              <w:t>销售</w:t>
            </w:r>
            <w:r>
              <w:rPr>
                <w:rFonts w:hint="eastAsia" w:ascii="楷体" w:hAnsi="楷体" w:eastAsia="楷体" w:cs="楷体"/>
                <w:sz w:val="24"/>
                <w:szCs w:val="24"/>
                <w:lang w:eastAsia="zh-CN"/>
              </w:rPr>
              <w:t>名</w:t>
            </w:r>
            <w:r>
              <w:rPr>
                <w:rFonts w:hint="eastAsia" w:ascii="楷体" w:hAnsi="楷体" w:eastAsia="楷体" w:cs="楷体"/>
                <w:sz w:val="24"/>
                <w:szCs w:val="24"/>
              </w:rPr>
              <w:t>称</w:t>
            </w:r>
          </w:p>
        </w:tc>
        <w:tc>
          <w:tcPr>
            <w:tcW w:w="1470" w:type="dxa"/>
          </w:tcPr>
          <w:p>
            <w:pPr>
              <w:jc w:val="center"/>
              <w:rPr>
                <w:rFonts w:hint="eastAsia" w:ascii="楷体" w:hAnsi="楷体" w:eastAsia="楷体" w:cs="楷体"/>
              </w:rPr>
            </w:pPr>
            <w:r>
              <w:rPr>
                <w:rFonts w:hint="eastAsia" w:ascii="楷体" w:hAnsi="楷体" w:eastAsia="楷体" w:cs="楷体"/>
                <w:sz w:val="24"/>
                <w:szCs w:val="24"/>
              </w:rPr>
              <w:t>单位净值</w:t>
            </w:r>
          </w:p>
        </w:tc>
        <w:tc>
          <w:tcPr>
            <w:tcW w:w="1665" w:type="dxa"/>
          </w:tcPr>
          <w:p>
            <w:pPr>
              <w:jc w:val="center"/>
              <w:rPr>
                <w:rFonts w:hint="eastAsia" w:ascii="楷体" w:hAnsi="楷体" w:eastAsia="楷体" w:cs="楷体"/>
                <w:sz w:val="24"/>
                <w:szCs w:val="24"/>
              </w:rPr>
            </w:pPr>
            <w:r>
              <w:rPr>
                <w:rFonts w:hint="eastAsia" w:ascii="楷体" w:hAnsi="楷体" w:eastAsia="楷体" w:cs="楷体"/>
                <w:sz w:val="24"/>
                <w:szCs w:val="24"/>
              </w:rPr>
              <w:t>累计单位净值</w:t>
            </w:r>
          </w:p>
        </w:tc>
        <w:tc>
          <w:tcPr>
            <w:tcW w:w="1876" w:type="dxa"/>
          </w:tcPr>
          <w:p>
            <w:pPr>
              <w:jc w:val="center"/>
              <w:rPr>
                <w:rFonts w:hint="eastAsia" w:ascii="楷体" w:hAnsi="楷体" w:eastAsia="楷体" w:cs="楷体"/>
              </w:rPr>
            </w:pPr>
            <w:r>
              <w:rPr>
                <w:rFonts w:hint="eastAsia" w:ascii="楷体" w:hAnsi="楷体" w:eastAsia="楷体" w:cs="楷体"/>
                <w:sz w:val="24"/>
                <w:szCs w:val="24"/>
              </w:rPr>
              <w:t>业绩比较基准（年化）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 w:type="dxa"/>
          </w:tcPr>
          <w:p>
            <w:pPr>
              <w:jc w:val="center"/>
              <w:rPr>
                <w:rFonts w:hint="eastAsia" w:ascii="楷体" w:hAnsi="楷体" w:eastAsia="楷体" w:cs="楷体"/>
                <w:sz w:val="24"/>
                <w:szCs w:val="24"/>
              </w:rPr>
            </w:pPr>
            <w:r>
              <w:rPr>
                <w:rFonts w:hint="eastAsia" w:ascii="楷体" w:hAnsi="楷体" w:eastAsia="楷体" w:cs="楷体"/>
                <w:sz w:val="24"/>
                <w:szCs w:val="24"/>
              </w:rPr>
              <w:t>2025-06-30</w:t>
            </w:r>
          </w:p>
        </w:tc>
        <w:tc>
          <w:tcPr>
            <w:tcW w:w="2100" w:type="dxa"/>
          </w:tcPr>
          <w:p>
            <w:pPr>
              <w:jc w:val="center"/>
              <w:rPr>
                <w:rFonts w:hint="eastAsia" w:ascii="楷体" w:hAnsi="楷体" w:eastAsia="楷体" w:cs="楷体"/>
                <w:sz w:val="24"/>
                <w:szCs w:val="24"/>
              </w:rPr>
            </w:pPr>
            <w:r>
              <w:rPr>
                <w:rFonts w:hint="eastAsia" w:ascii="楷体" w:hAnsi="楷体" w:eastAsia="楷体" w:cs="楷体"/>
                <w:sz w:val="24"/>
                <w:szCs w:val="24"/>
              </w:rPr>
              <w:t>苏银理财恒源最短持有7天（工行专享）</w:t>
            </w:r>
          </w:p>
        </w:tc>
        <w:tc>
          <w:tcPr>
            <w:tcW w:w="1470" w:type="dxa"/>
          </w:tcPr>
          <w:p>
            <w:pPr>
              <w:jc w:val="center"/>
              <w:rPr>
                <w:rFonts w:hint="eastAsia" w:ascii="楷体" w:hAnsi="楷体" w:eastAsia="楷体" w:cs="楷体"/>
                <w:sz w:val="24"/>
                <w:szCs w:val="24"/>
              </w:rPr>
            </w:pPr>
            <w:r>
              <w:rPr>
                <w:rFonts w:hint="eastAsia" w:ascii="楷体" w:hAnsi="楷体" w:eastAsia="楷体" w:cs="楷体"/>
                <w:sz w:val="24"/>
                <w:szCs w:val="24"/>
              </w:rPr>
              <w:t>1.048103</w:t>
            </w:r>
          </w:p>
        </w:tc>
        <w:tc>
          <w:tcPr>
            <w:tcW w:w="1665" w:type="dxa"/>
          </w:tcPr>
          <w:p>
            <w:pPr>
              <w:jc w:val="center"/>
              <w:rPr>
                <w:rFonts w:hint="eastAsia" w:ascii="楷体" w:hAnsi="楷体" w:eastAsia="楷体" w:cs="楷体"/>
                <w:sz w:val="24"/>
                <w:szCs w:val="24"/>
              </w:rPr>
            </w:pPr>
            <w:r>
              <w:rPr>
                <w:rFonts w:hint="eastAsia" w:ascii="楷体" w:hAnsi="楷体" w:eastAsia="楷体" w:cs="楷体"/>
                <w:sz w:val="24"/>
                <w:szCs w:val="24"/>
              </w:rPr>
              <w:t>1.048103</w:t>
            </w:r>
          </w:p>
        </w:tc>
        <w:tc>
          <w:tcPr>
            <w:tcW w:w="1876" w:type="dxa"/>
          </w:tcPr>
          <w:p>
            <w:pPr>
              <w:jc w:val="center"/>
              <w:rPr>
                <w:rFonts w:hint="eastAsia" w:ascii="楷体" w:hAnsi="楷体" w:eastAsia="楷体" w:cs="楷体"/>
                <w:sz w:val="24"/>
                <w:szCs w:val="24"/>
              </w:rPr>
            </w:pPr>
            <w:r>
              <w:rPr>
                <w:rFonts w:hint="eastAsia" w:ascii="楷体" w:hAnsi="楷体" w:eastAsia="楷体" w:cs="楷体"/>
                <w:sz w:val="24"/>
                <w:szCs w:val="24"/>
              </w:rPr>
              <w:t>1.80%-2.60%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苏银理财恒源最短持有7天（工行私银专享）</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1.04852</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1.04852</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1.85%-2.65%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苏银理财恒源最短持有7天D</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1.049887</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1.049887</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1.90%-2.70%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苏银理财恒源最短持有7天E</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1.049198</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1.049198</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1.95%-2.75%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苏银理财恒源最短持有7天JS鑫福款</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1.047862</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1.047862</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1.85%-2.65%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苏银理财恒源最短持有7天（代发专享）</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1.048835</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1.048835</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1.85%-2.65%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苏银理财恒源最短持有7天（芙蓉锦程·优选）</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1.048077</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1.048077</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1.70%-2.50%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苏银理财恒源最短持有7天H</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1.046793</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1.046793</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1.60%-2.40%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苏银理财恒源最短持有7天A</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1.048305</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1.048305</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1.80%-2.60%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苏银理财恒源最短持有7天F</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1.051005</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1.051005</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1.70%-2.50%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苏银理财恒源最短持有7天G</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1.04848</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1.04848</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1.80%-2.60%</w:t>
            </w:r>
          </w:p>
        </w:tc>
      </w:tr>
    </w:tbl>
    <w:p>
      <w:pPr>
        <w:rPr>
          <w:rFonts w:hint="eastAsia" w:ascii="楷体" w:hAnsi="楷体" w:eastAsia="楷体" w:cs="楷体"/>
        </w:rPr>
      </w:pPr>
    </w:p>
    <w:p>
      <w:pPr>
        <w:rPr>
          <w:rFonts w:hint="eastAsia" w:ascii="楷体" w:hAnsi="楷体" w:eastAsia="楷体" w:cs="楷体"/>
          <w:sz w:val="21"/>
          <w:szCs w:val="21"/>
        </w:rPr>
      </w:pPr>
      <w:r>
        <w:rPr>
          <w:rFonts w:hint="eastAsia" w:ascii="楷体" w:hAnsi="楷体" w:eastAsia="楷体" w:cs="楷体"/>
          <w:bCs/>
          <w:kern w:val="0"/>
          <w:sz w:val="21"/>
          <w:szCs w:val="21"/>
        </w:rPr>
        <w:t>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三、产品投资组合情况</w:t>
      </w:r>
    </w:p>
    <w:p>
      <w:pPr>
        <w:pStyle w:val="2"/>
        <w:rPr>
          <w:rFonts w:hint="eastAsia" w:ascii="楷体" w:hAnsi="楷体" w:eastAsia="楷体" w:cs="楷体"/>
          <w:b w:val="0"/>
          <w:sz w:val="21"/>
        </w:rPr>
      </w:pPr>
      <w:r>
        <w:rPr>
          <w:rFonts w:hint="eastAsia" w:ascii="楷体" w:hAnsi="楷体" w:eastAsia="楷体" w:cs="楷体"/>
          <w:b w:val="0"/>
          <w:sz w:val="21"/>
        </w:rPr>
        <w:t>（一）期末理财产品持有资产情况</w:t>
      </w:r>
    </w:p>
    <w:tbl>
      <w:tblPr>
        <w:tblStyle w:val="9"/>
        <w:tblW w:w="8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
        <w:gridCol w:w="2413"/>
        <w:gridCol w:w="2610"/>
        <w:gridCol w:w="2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spacing w:line="320" w:lineRule="exact"/>
              <w:jc w:val="center"/>
              <w:rPr>
                <w:rFonts w:hint="eastAsia" w:ascii="楷体" w:hAnsi="楷体" w:eastAsia="楷体" w:cs="楷体"/>
                <w:sz w:val="21"/>
                <w:szCs w:val="21"/>
              </w:rPr>
            </w:pPr>
            <w:r>
              <w:rPr>
                <w:rFonts w:hint="eastAsia" w:ascii="楷体" w:hAnsi="楷体" w:eastAsia="楷体" w:cs="楷体"/>
                <w:sz w:val="21"/>
                <w:szCs w:val="21"/>
              </w:rPr>
              <w:t>序号</w:t>
            </w:r>
          </w:p>
        </w:tc>
        <w:tc>
          <w:tcPr>
            <w:tcW w:w="2413" w:type="dxa"/>
            <w:vAlign w:val="center"/>
          </w:tcPr>
          <w:p>
            <w:pPr>
              <w:spacing w:line="320" w:lineRule="exact"/>
              <w:jc w:val="center"/>
              <w:rPr>
                <w:rFonts w:hint="eastAsia" w:ascii="楷体" w:hAnsi="楷体" w:eastAsia="楷体" w:cs="楷体"/>
                <w:sz w:val="21"/>
                <w:szCs w:val="21"/>
              </w:rPr>
            </w:pPr>
            <w:r>
              <w:rPr>
                <w:rFonts w:hint="eastAsia" w:ascii="楷体" w:hAnsi="楷体" w:eastAsia="楷体" w:cs="楷体"/>
                <w:sz w:val="21"/>
                <w:szCs w:val="21"/>
              </w:rPr>
              <w:t>资产类别</w:t>
            </w:r>
          </w:p>
        </w:tc>
        <w:tc>
          <w:tcPr>
            <w:tcW w:w="2610" w:type="dxa"/>
            <w:vAlign w:val="center"/>
          </w:tcPr>
          <w:p>
            <w:pPr>
              <w:spacing w:line="320" w:lineRule="exact"/>
              <w:rPr>
                <w:rFonts w:hint="eastAsia" w:ascii="楷体" w:hAnsi="楷体" w:eastAsia="楷体" w:cs="楷体"/>
                <w:sz w:val="21"/>
                <w:szCs w:val="21"/>
              </w:rPr>
            </w:pPr>
            <w:r>
              <w:rPr>
                <w:rFonts w:hint="eastAsia" w:ascii="楷体" w:hAnsi="楷体" w:eastAsia="楷体" w:cs="楷体"/>
                <w:sz w:val="21"/>
                <w:szCs w:val="21"/>
              </w:rPr>
              <w:t>直接投资占总资产的比例</w:t>
            </w:r>
          </w:p>
        </w:tc>
        <w:tc>
          <w:tcPr>
            <w:tcW w:w="2550" w:type="dxa"/>
            <w:vAlign w:val="center"/>
          </w:tcPr>
          <w:p>
            <w:pPr>
              <w:spacing w:line="320" w:lineRule="exact"/>
              <w:jc w:val="center"/>
              <w:rPr>
                <w:rFonts w:hint="eastAsia" w:ascii="楷体" w:hAnsi="楷体" w:eastAsia="楷体" w:cs="楷体"/>
                <w:sz w:val="21"/>
                <w:szCs w:val="21"/>
              </w:rPr>
            </w:pPr>
            <w:r>
              <w:rPr>
                <w:rFonts w:hint="eastAsia" w:ascii="楷体" w:hAnsi="楷体" w:eastAsia="楷体" w:cs="楷体"/>
                <w:sz w:val="21"/>
                <w:szCs w:val="21"/>
              </w:rPr>
              <w:t>间接投资占总资产的比例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w:t>
            </w:r>
          </w:p>
        </w:tc>
        <w:tc>
          <w:tcPr>
            <w:tcW w:w="2413"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固定收益类</w:t>
            </w:r>
          </w:p>
        </w:tc>
        <w:tc>
          <w:tcPr>
            <w:tcW w:w="2610"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39.83%</w:t>
            </w:r>
          </w:p>
        </w:tc>
        <w:tc>
          <w:tcPr>
            <w:tcW w:w="2550"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59.47%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2</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权益类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0.70%</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3</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商品及金融衍生品类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4</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混合类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140" w:type="dxa"/>
            <w:gridSpan w:val="2"/>
            <w:shd w:val="clear" w:color="auto" w:fill="auto"/>
            <w:vAlign w:val="center"/>
          </w:tcPr>
          <w:p>
            <w:pPr>
              <w:tabs>
                <w:tab w:val="center" w:pos="1522"/>
                <w:tab w:val="right" w:pos="2924"/>
              </w:tabs>
              <w:jc w:val="left"/>
              <w:rPr>
                <w:rFonts w:hint="eastAsia" w:ascii="楷体" w:hAnsi="楷体" w:eastAsia="楷体" w:cs="楷体"/>
                <w:sz w:val="24"/>
                <w:szCs w:val="24"/>
                <w:lang w:eastAsia="zh-CN"/>
              </w:rPr>
            </w:pPr>
            <w:r>
              <w:rPr>
                <w:rFonts w:hint="eastAsia" w:ascii="楷体" w:hAnsi="楷体" w:eastAsia="楷体" w:cs="楷体"/>
                <w:sz w:val="24"/>
                <w:szCs w:val="24"/>
                <w:lang w:eastAsia="zh-CN"/>
              </w:rPr>
              <w:tab/>
            </w:r>
            <w:r>
              <w:rPr>
                <w:rFonts w:hint="eastAsia" w:ascii="楷体" w:hAnsi="楷体" w:eastAsia="楷体" w:cs="楷体"/>
                <w:sz w:val="24"/>
                <w:szCs w:val="24"/>
              </w:rPr>
              <w:t>合计</w:t>
            </w:r>
            <w:r>
              <w:rPr>
                <w:rFonts w:hint="eastAsia" w:ascii="楷体" w:hAnsi="楷体" w:eastAsia="楷体" w:cs="楷体"/>
                <w:sz w:val="24"/>
                <w:szCs w:val="24"/>
                <w:lang w:eastAsia="zh-CN"/>
              </w:rPr>
              <w:tab/>
            </w:r>
          </w:p>
        </w:tc>
        <w:tc>
          <w:tcPr>
            <w:tcW w:w="2610" w:type="dxa"/>
            <w:shd w:val="clear" w:color="auto" w:fill="auto"/>
            <w:vAlign w:val="center"/>
          </w:tcPr>
          <w:p>
            <w:pPr>
              <w:jc w:val="center"/>
              <w:rPr>
                <w:rFonts w:hint="eastAsia" w:ascii="楷体" w:hAnsi="楷体" w:eastAsia="楷体" w:cs="楷体"/>
                <w:sz w:val="24"/>
                <w:szCs w:val="24"/>
              </w:rPr>
            </w:pPr>
            <w:r>
              <w:rPr>
                <w:rFonts w:hint="eastAsia" w:ascii="楷体" w:hAnsi="楷体" w:eastAsia="楷体" w:cs="楷体"/>
                <w:sz w:val="24"/>
                <w:szCs w:val="24"/>
              </w:rPr>
              <w:t>40.53%</w:t>
            </w:r>
          </w:p>
        </w:tc>
        <w:tc>
          <w:tcPr>
            <w:tcW w:w="2550" w:type="dxa"/>
            <w:shd w:val="clear" w:color="auto" w:fill="FFFFFF"/>
            <w:vAlign w:val="center"/>
          </w:tcPr>
          <w:p>
            <w:pPr>
              <w:jc w:val="center"/>
              <w:rPr>
                <w:rFonts w:hint="eastAsia" w:ascii="楷体" w:hAnsi="楷体" w:eastAsia="楷体" w:cs="楷体"/>
                <w:sz w:val="24"/>
                <w:szCs w:val="24"/>
              </w:rPr>
            </w:pPr>
            <w:r>
              <w:rPr>
                <w:rFonts w:hint="eastAsia" w:ascii="楷体" w:hAnsi="楷体" w:eastAsia="楷体" w:cs="楷体"/>
                <w:sz w:val="24"/>
                <w:szCs w:val="24"/>
              </w:rPr>
              <w:t>59.47%</w:t>
            </w:r>
          </w:p>
        </w:tc>
      </w:tr>
    </w:tbl>
    <w:p>
      <w:pPr>
        <w:rPr>
          <w:rFonts w:hint="eastAsia" w:ascii="楷体" w:hAnsi="楷体" w:eastAsia="楷体" w:cs="楷体"/>
        </w:rPr>
      </w:pPr>
    </w:p>
    <w:p>
      <w:pPr>
        <w:pStyle w:val="2"/>
        <w:ind w:left="0"/>
        <w:rPr>
          <w:rFonts w:hint="eastAsia" w:ascii="楷体" w:hAnsi="楷体" w:eastAsia="楷体" w:cs="楷体"/>
          <w:b w:val="0"/>
          <w:sz w:val="21"/>
        </w:rPr>
      </w:pPr>
      <w:r>
        <w:rPr>
          <w:rFonts w:hint="eastAsia" w:ascii="楷体" w:hAnsi="楷体" w:eastAsia="楷体" w:cs="楷体"/>
          <w:b w:val="0"/>
          <w:sz w:val="21"/>
        </w:rPr>
        <w:t>（二）期末理财产品持有的前十项资产</w:t>
      </w:r>
    </w:p>
    <w:tbl>
      <w:tblPr>
        <w:tblStyle w:val="9"/>
        <w:tblW w:w="8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2434"/>
        <w:gridCol w:w="1275"/>
        <w:gridCol w:w="2235"/>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序号</w:t>
            </w:r>
          </w:p>
        </w:tc>
        <w:tc>
          <w:tcPr>
            <w:tcW w:w="243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资产名称</w:t>
            </w:r>
          </w:p>
        </w:tc>
        <w:tc>
          <w:tcPr>
            <w:tcW w:w="1275"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资产类别</w:t>
            </w:r>
          </w:p>
        </w:tc>
        <w:tc>
          <w:tcPr>
            <w:tcW w:w="2235"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持有金额（元）</w:t>
            </w:r>
          </w:p>
        </w:tc>
        <w:tc>
          <w:tcPr>
            <w:tcW w:w="1800"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jc w:val="center"/>
              <w:rPr>
                <w:rFonts w:hint="eastAsia" w:ascii="楷体" w:hAnsi="楷体" w:eastAsia="楷体" w:cs="楷体"/>
                <w:sz w:val="22"/>
              </w:rPr>
            </w:pPr>
            <w:r>
              <w:rPr>
                <w:rFonts w:hint="eastAsia" w:ascii="楷体" w:hAnsi="楷体" w:eastAsia="楷体" w:cs="楷体"/>
                <w:sz w:val="22"/>
              </w:rPr>
              <w:t>1</w:t>
            </w:r>
          </w:p>
        </w:tc>
        <w:tc>
          <w:tcPr>
            <w:tcW w:w="2434" w:type="dxa"/>
          </w:tcPr>
          <w:p>
            <w:pPr>
              <w:jc w:val="center"/>
              <w:rPr>
                <w:rFonts w:hint="eastAsia" w:ascii="楷体" w:hAnsi="楷体" w:eastAsia="楷体" w:cs="楷体"/>
                <w:sz w:val="22"/>
              </w:rPr>
            </w:pPr>
            <w:r>
              <w:rPr>
                <w:rFonts w:hint="eastAsia" w:ascii="楷体" w:hAnsi="楷体" w:eastAsia="楷体" w:cs="楷体"/>
                <w:sz w:val="22"/>
              </w:rPr>
              <w:t>现金及银行存款</w:t>
            </w:r>
          </w:p>
        </w:tc>
        <w:tc>
          <w:tcPr>
            <w:tcW w:w="1275" w:type="dxa"/>
          </w:tcPr>
          <w:p>
            <w:pPr>
              <w:jc w:val="center"/>
              <w:rPr>
                <w:rFonts w:hint="eastAsia" w:ascii="楷体" w:hAnsi="楷体" w:eastAsia="楷体" w:cs="楷体"/>
                <w:sz w:val="22"/>
              </w:rPr>
            </w:pPr>
            <w:r>
              <w:rPr>
                <w:rFonts w:hint="eastAsia" w:ascii="楷体" w:hAnsi="楷体" w:eastAsia="楷体" w:cs="楷体"/>
                <w:sz w:val="22"/>
              </w:rPr>
              <w:t>现金及银行存款</w:t>
            </w:r>
          </w:p>
        </w:tc>
        <w:tc>
          <w:tcPr>
            <w:tcW w:w="2235" w:type="dxa"/>
          </w:tcPr>
          <w:p>
            <w:pPr>
              <w:jc w:val="center"/>
              <w:rPr>
                <w:rFonts w:hint="eastAsia" w:ascii="楷体" w:hAnsi="楷体" w:eastAsia="楷体" w:cs="楷体"/>
                <w:sz w:val="22"/>
              </w:rPr>
            </w:pPr>
            <w:r>
              <w:rPr>
                <w:rFonts w:hint="eastAsia" w:ascii="楷体" w:hAnsi="楷体" w:eastAsia="楷体" w:cs="楷体"/>
                <w:sz w:val="22"/>
              </w:rPr>
              <w:t>1,704,641,532.98</w:t>
            </w:r>
          </w:p>
        </w:tc>
        <w:tc>
          <w:tcPr>
            <w:tcW w:w="1800" w:type="dxa"/>
          </w:tcPr>
          <w:p>
            <w:pPr>
              <w:jc w:val="center"/>
              <w:rPr>
                <w:rFonts w:hint="eastAsia" w:ascii="楷体" w:hAnsi="楷体" w:eastAsia="楷体" w:cs="楷体"/>
                <w:sz w:val="22"/>
              </w:rPr>
            </w:pPr>
            <w:r>
              <w:rPr>
                <w:rFonts w:hint="eastAsia" w:ascii="楷体" w:hAnsi="楷体" w:eastAsia="楷体" w:cs="楷体"/>
                <w:sz w:val="22"/>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2</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中国农业银行昆山分行202311097219</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现金及银行存款</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620,593,487.77</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3.39%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3</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220916工商银行无锡分行</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现金及银行存款</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375,956,741.80</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4</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中国农业银行杭州上泗支行202501171498</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现金及银行存款</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299,969,970.48</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5</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拆放同业及债券买入返售</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拆放同业及债券买入返售</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288,193,640.36</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6</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25农业银行CD150</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同业存单</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212,401,135.93</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7</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中国农业银行杭州上泗支行202501171488</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现金及银行存款</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199,979,980.21</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8</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24中国银行CD035</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同业存单</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199,871,991.78</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9</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25北京银行CD103</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同业存单</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197,589,738.46</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10</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25南京银行CD112</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同业存单</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197,042,142.47</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1.08%</w:t>
            </w:r>
          </w:p>
        </w:tc>
      </w:tr>
    </w:tbl>
    <w:p>
      <w:pPr>
        <w:pStyle w:val="14"/>
        <w:rPr>
          <w:rFonts w:hint="eastAsia" w:ascii="楷体" w:hAnsi="楷体" w:eastAsia="楷体" w:cs="楷体"/>
        </w:rPr>
      </w:pPr>
    </w:p>
    <w:p>
      <w:pPr>
        <w:pStyle w:val="2"/>
        <w:numPr>
          <w:ilvl w:val="0"/>
          <w:numId w:val="1"/>
        </w:numPr>
        <w:rPr>
          <w:rFonts w:hint="eastAsia" w:ascii="楷体" w:hAnsi="楷体" w:eastAsia="楷体" w:cs="楷体"/>
          <w:b w:val="0"/>
          <w:sz w:val="21"/>
        </w:rPr>
      </w:pPr>
      <w:r>
        <w:rPr>
          <w:rFonts w:hint="eastAsia" w:ascii="楷体" w:hAnsi="楷体" w:eastAsia="楷体" w:cs="楷体"/>
          <w:b w:val="0"/>
          <w:sz w:val="21"/>
        </w:rPr>
        <w:t>非标资产情况</w:t>
      </w:r>
    </w:p>
    <w:p>
      <w:pPr>
        <w:ind w:firstLine="220" w:firstLineChars="100"/>
        <w:rPr>
          <w:rFonts w:hint="eastAsia" w:ascii="楷体" w:hAnsi="楷体" w:eastAsia="楷体" w:cs="楷体"/>
        </w:rPr>
      </w:pPr>
      <w:r>
        <w:rPr>
          <w:rFonts w:hint="eastAsia" w:ascii="楷体" w:hAnsi="楷体" w:eastAsia="楷体" w:cs="楷体"/>
          <w:sz w:val="22"/>
          <w:szCs w:val="24"/>
        </w:rPr>
        <w:t>1）非标资产投资情况</w:t>
      </w:r>
    </w:p>
    <w:tbl>
      <w:tblPr>
        <w:tblStyle w:val="9"/>
        <w:tblW w:w="8811" w:type="dxa"/>
        <w:tblInd w:w="0" w:type="dxa"/>
        <w:tblLayout w:type="fixed"/>
        <w:tblCellMar>
          <w:top w:w="0" w:type="dxa"/>
          <w:left w:w="108" w:type="dxa"/>
          <w:bottom w:w="0" w:type="dxa"/>
          <w:right w:w="108" w:type="dxa"/>
        </w:tblCellMar>
      </w:tblPr>
      <w:tblGrid>
        <w:gridCol w:w="1401"/>
        <w:gridCol w:w="1410"/>
        <w:gridCol w:w="1245"/>
        <w:gridCol w:w="1485"/>
        <w:gridCol w:w="1335"/>
        <w:gridCol w:w="1080"/>
        <w:gridCol w:w="855"/>
      </w:tblGrid>
      <w:tr>
        <w:tblPrEx>
          <w:tblCellMar>
            <w:top w:w="0" w:type="dxa"/>
            <w:left w:w="108" w:type="dxa"/>
            <w:bottom w:w="0" w:type="dxa"/>
            <w:right w:w="108" w:type="dxa"/>
          </w:tblCellMar>
        </w:tblPrEx>
        <w:trPr>
          <w:trHeight w:val="270" w:hRule="atLeast"/>
        </w:trPr>
        <w:tc>
          <w:tcPr>
            <w:tcW w:w="140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融资客户</w:t>
            </w:r>
          </w:p>
        </w:tc>
        <w:tc>
          <w:tcPr>
            <w:tcW w:w="1410"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项目名称</w:t>
            </w:r>
          </w:p>
        </w:tc>
        <w:tc>
          <w:tcPr>
            <w:tcW w:w="124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剩余融资期限（天）</w:t>
            </w:r>
          </w:p>
        </w:tc>
        <w:tc>
          <w:tcPr>
            <w:tcW w:w="148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资产面值</w:t>
            </w:r>
          </w:p>
        </w:tc>
        <w:tc>
          <w:tcPr>
            <w:tcW w:w="133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到期分配方式</w:t>
            </w:r>
          </w:p>
        </w:tc>
        <w:tc>
          <w:tcPr>
            <w:tcW w:w="1080"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交易结构</w:t>
            </w:r>
          </w:p>
        </w:tc>
        <w:tc>
          <w:tcPr>
            <w:tcW w:w="85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风险状况</w:t>
            </w:r>
          </w:p>
        </w:tc>
      </w:tr>
      <w:tr>
        <w:tblPrEx>
          <w:tblCellMar>
            <w:top w:w="0" w:type="dxa"/>
            <w:left w:w="108" w:type="dxa"/>
            <w:bottom w:w="0" w:type="dxa"/>
            <w:right w:w="108" w:type="dxa"/>
          </w:tblCellMar>
        </w:tblPrEx>
        <w:trPr>
          <w:trHeight w:val="270" w:hRule="atLeast"/>
        </w:trPr>
        <w:tc>
          <w:tcPr>
            <w:tcW w:w="1401"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w:t>
            </w:r>
          </w:p>
        </w:tc>
        <w:tc>
          <w:tcPr>
            <w:tcW w:w="1410"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w:t>
            </w:r>
          </w:p>
        </w:tc>
        <w:tc>
          <w:tcPr>
            <w:tcW w:w="124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w:t>
            </w:r>
          </w:p>
        </w:tc>
        <w:tc>
          <w:tcPr>
            <w:tcW w:w="148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w:t>
            </w:r>
          </w:p>
        </w:tc>
        <w:tc>
          <w:tcPr>
            <w:tcW w:w="133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1080"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85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r>
    </w:tbl>
    <w:p>
      <w:pPr>
        <w:pStyle w:val="14"/>
        <w:rPr>
          <w:rFonts w:hint="eastAsia" w:ascii="楷体" w:hAnsi="楷体" w:eastAsia="楷体" w:cs="楷体"/>
        </w:rPr>
      </w:pPr>
    </w:p>
    <w:p>
      <w:pPr>
        <w:spacing w:line="320" w:lineRule="exact"/>
        <w:ind w:firstLine="220" w:firstLineChars="100"/>
        <w:rPr>
          <w:rFonts w:hint="eastAsia" w:ascii="楷体" w:hAnsi="楷体" w:eastAsia="楷体" w:cs="楷体"/>
        </w:rPr>
      </w:pPr>
      <w:r>
        <w:rPr>
          <w:rFonts w:hint="eastAsia" w:ascii="楷体" w:hAnsi="楷体" w:eastAsia="楷体" w:cs="楷体"/>
          <w:sz w:val="22"/>
          <w:szCs w:val="24"/>
        </w:rPr>
        <w:t>2）融资客户情况</w:t>
      </w:r>
    </w:p>
    <w:tbl>
      <w:tblPr>
        <w:tblStyle w:val="10"/>
        <w:tblW w:w="88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2"/>
        <w:gridCol w:w="1399"/>
        <w:gridCol w:w="1263"/>
        <w:gridCol w:w="4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1412"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融资客户</w:t>
            </w:r>
          </w:p>
        </w:tc>
        <w:tc>
          <w:tcPr>
            <w:tcW w:w="1399"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成立日期</w:t>
            </w:r>
          </w:p>
        </w:tc>
        <w:tc>
          <w:tcPr>
            <w:tcW w:w="1263"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注册资本（元）</w:t>
            </w:r>
          </w:p>
        </w:tc>
        <w:tc>
          <w:tcPr>
            <w:tcW w:w="4746"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经营范围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2"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1399"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1263"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4746"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r>
    </w:tbl>
    <w:p>
      <w:pPr>
        <w:pStyle w:val="14"/>
        <w:rPr>
          <w:rFonts w:hint="eastAsia" w:ascii="楷体" w:hAnsi="楷体" w:eastAsia="楷体" w:cs="楷体"/>
        </w:rPr>
      </w:pPr>
    </w:p>
    <w:p>
      <w:pPr>
        <w:pStyle w:val="2"/>
        <w:rPr>
          <w:rFonts w:hint="eastAsia" w:ascii="楷体" w:hAnsi="楷体" w:eastAsia="楷体" w:cs="楷体"/>
          <w:b w:val="0"/>
          <w:sz w:val="21"/>
        </w:rPr>
      </w:pPr>
      <w:r>
        <w:rPr>
          <w:rFonts w:hint="eastAsia" w:ascii="楷体" w:hAnsi="楷体" w:eastAsia="楷体" w:cs="楷体"/>
          <w:b w:val="0"/>
          <w:sz w:val="21"/>
        </w:rPr>
        <w:t>（四）关联交易情况</w:t>
      </w:r>
    </w:p>
    <w:p>
      <w:pPr>
        <w:spacing w:line="320" w:lineRule="exact"/>
        <w:ind w:firstLine="220" w:firstLineChars="100"/>
        <w:rPr>
          <w:rFonts w:hint="eastAsia" w:ascii="楷体" w:hAnsi="楷体" w:eastAsia="楷体" w:cs="楷体"/>
          <w:sz w:val="22"/>
          <w:szCs w:val="24"/>
        </w:rPr>
      </w:pPr>
      <w:r>
        <w:rPr>
          <w:rFonts w:hint="eastAsia" w:ascii="楷体" w:hAnsi="楷体" w:eastAsia="楷体" w:cs="楷体"/>
          <w:sz w:val="22"/>
          <w:szCs w:val="24"/>
        </w:rPr>
        <w:t>1）报告期内投资于关联方发行的证券或其他金融工具</w:t>
      </w:r>
    </w:p>
    <w:tbl>
      <w:tblPr>
        <w:tblStyle w:val="9"/>
        <w:tblW w:w="8621" w:type="dxa"/>
        <w:tblInd w:w="0" w:type="dxa"/>
        <w:tblLayout w:type="fixed"/>
        <w:tblCellMar>
          <w:top w:w="0" w:type="dxa"/>
          <w:left w:w="108" w:type="dxa"/>
          <w:bottom w:w="0" w:type="dxa"/>
          <w:right w:w="108" w:type="dxa"/>
        </w:tblCellMar>
      </w:tblPr>
      <w:tblGrid>
        <w:gridCol w:w="1465"/>
        <w:gridCol w:w="1440"/>
        <w:gridCol w:w="1425"/>
        <w:gridCol w:w="2115"/>
        <w:gridCol w:w="2176"/>
      </w:tblGrid>
      <w:tr>
        <w:tblPrEx>
          <w:tblCellMar>
            <w:top w:w="0" w:type="dxa"/>
            <w:left w:w="108" w:type="dxa"/>
            <w:bottom w:w="0" w:type="dxa"/>
            <w:right w:w="108" w:type="dxa"/>
          </w:tblCellMar>
        </w:tblPrEx>
        <w:trPr>
          <w:trHeight w:val="283" w:hRule="atLeast"/>
        </w:trPr>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证券代码</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证券简称</w:t>
            </w:r>
          </w:p>
        </w:tc>
        <w:tc>
          <w:tcPr>
            <w:tcW w:w="211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报告期投资的证券数量（张）</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46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镇江产业投资控股集团有限公司</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012581280.IB</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25镇江产投SCP003</w:t>
            </w:r>
          </w:p>
        </w:tc>
        <w:tc>
          <w:tcPr>
            <w:tcW w:w="211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100,000.00</w:t>
            </w:r>
          </w:p>
        </w:tc>
        <w:tc>
          <w:tcPr>
            <w:tcW w:w="217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10,000,000.00</w:t>
            </w:r>
          </w:p>
        </w:tc>
      </w:tr>
    </w:tbl>
    <w:p>
      <w:pPr>
        <w:rPr>
          <w:rFonts w:hint="eastAsia" w:ascii="楷体" w:hAnsi="楷体" w:eastAsia="楷体" w:cs="楷体"/>
        </w:rPr>
      </w:pPr>
    </w:p>
    <w:p>
      <w:pPr>
        <w:ind w:firstLine="220" w:firstLineChars="100"/>
        <w:rPr>
          <w:rFonts w:hint="eastAsia" w:ascii="楷体" w:hAnsi="楷体" w:eastAsia="楷体" w:cs="楷体"/>
        </w:rPr>
      </w:pPr>
      <w:r>
        <w:rPr>
          <w:rFonts w:hint="eastAsia" w:ascii="楷体" w:hAnsi="楷体" w:eastAsia="楷体" w:cs="楷体"/>
          <w:sz w:val="22"/>
          <w:szCs w:val="24"/>
        </w:rPr>
        <w:t>2）报告期内投资于关联方承销的证券或其他金融工具</w:t>
      </w:r>
    </w:p>
    <w:tbl>
      <w:tblPr>
        <w:tblStyle w:val="9"/>
        <w:tblW w:w="8621" w:type="dxa"/>
        <w:tblInd w:w="0" w:type="dxa"/>
        <w:tblLayout w:type="fixed"/>
        <w:tblCellMar>
          <w:top w:w="0" w:type="dxa"/>
          <w:left w:w="108" w:type="dxa"/>
          <w:bottom w:w="0" w:type="dxa"/>
          <w:right w:w="108" w:type="dxa"/>
        </w:tblCellMar>
      </w:tblPr>
      <w:tblGrid>
        <w:gridCol w:w="1480"/>
        <w:gridCol w:w="1440"/>
        <w:gridCol w:w="1425"/>
        <w:gridCol w:w="2085"/>
        <w:gridCol w:w="2191"/>
      </w:tblGrid>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证券代码</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证券简称</w:t>
            </w: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报告期投资的证券数量（张）</w:t>
            </w:r>
          </w:p>
        </w:tc>
        <w:tc>
          <w:tcPr>
            <w:tcW w:w="219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江苏银行股份有限公司</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012581280.IB</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25镇江产投SCP003</w:t>
            </w:r>
          </w:p>
        </w:tc>
        <w:tc>
          <w:tcPr>
            <w:tcW w:w="208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100,000.00</w:t>
            </w:r>
          </w:p>
        </w:tc>
        <w:tc>
          <w:tcPr>
            <w:tcW w:w="2191"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10,000,000.00</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江苏银行股份有限公司</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042580243.IB</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25镇江旅游CP001</w:t>
            </w:r>
          </w:p>
        </w:tc>
        <w:tc>
          <w:tcPr>
            <w:tcW w:w="208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500,000.00</w:t>
            </w:r>
          </w:p>
        </w:tc>
        <w:tc>
          <w:tcPr>
            <w:tcW w:w="219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50,000,000.00</w:t>
            </w:r>
          </w:p>
        </w:tc>
      </w:tr>
    </w:tbl>
    <w:p>
      <w:pPr>
        <w:rPr>
          <w:rFonts w:hint="eastAsia" w:ascii="楷体" w:hAnsi="楷体" w:eastAsia="楷体" w:cs="楷体"/>
        </w:rPr>
      </w:pPr>
    </w:p>
    <w:p>
      <w:pPr>
        <w:numPr>
          <w:ilvl w:val="0"/>
          <w:numId w:val="2"/>
        </w:numPr>
        <w:ind w:firstLine="220" w:firstLineChars="100"/>
        <w:rPr>
          <w:rFonts w:hint="eastAsia" w:ascii="楷体" w:hAnsi="楷体" w:eastAsia="楷体" w:cs="楷体"/>
          <w:sz w:val="22"/>
          <w:szCs w:val="24"/>
        </w:rPr>
      </w:pPr>
      <w:r>
        <w:rPr>
          <w:rFonts w:hint="eastAsia" w:ascii="楷体" w:hAnsi="楷体" w:eastAsia="楷体" w:cs="楷体"/>
          <w:sz w:val="22"/>
          <w:szCs w:val="24"/>
        </w:rPr>
        <w:t>报告期内投资于关联方管理的资管产品或其他金融工具</w:t>
      </w:r>
    </w:p>
    <w:tbl>
      <w:tblPr>
        <w:tblStyle w:val="9"/>
        <w:tblW w:w="8621" w:type="dxa"/>
        <w:tblInd w:w="0" w:type="dxa"/>
        <w:tblLayout w:type="fixed"/>
        <w:tblCellMar>
          <w:top w:w="0" w:type="dxa"/>
          <w:left w:w="108" w:type="dxa"/>
          <w:bottom w:w="0" w:type="dxa"/>
          <w:right w:w="108" w:type="dxa"/>
        </w:tblCellMar>
      </w:tblPr>
      <w:tblGrid>
        <w:gridCol w:w="1480"/>
        <w:gridCol w:w="1440"/>
        <w:gridCol w:w="1395"/>
        <w:gridCol w:w="2130"/>
        <w:gridCol w:w="2176"/>
      </w:tblGrid>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金融工具代码</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金融工具名称</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报告期投资的证券数量</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江苏省国际信托有限责任公司</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ZZGL202504091187</w:t>
            </w:r>
          </w:p>
        </w:tc>
        <w:tc>
          <w:tcPr>
            <w:tcW w:w="139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江苏信托安源3号集合资金信托计划</w:t>
            </w:r>
          </w:p>
        </w:tc>
        <w:tc>
          <w:tcPr>
            <w:tcW w:w="213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749,255,361.00</w:t>
            </w:r>
          </w:p>
        </w:tc>
        <w:tc>
          <w:tcPr>
            <w:tcW w:w="217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750,000,000.00</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江苏省国际信托有限责任公司</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NETA20201230000002</w:t>
            </w:r>
          </w:p>
        </w:tc>
        <w:tc>
          <w:tcPr>
            <w:tcW w:w="1395"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江苏信托鼎泰1号集合资金信托计划</w:t>
            </w:r>
          </w:p>
        </w:tc>
        <w:tc>
          <w:tcPr>
            <w:tcW w:w="21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597,361,410.00</w:t>
            </w:r>
          </w:p>
        </w:tc>
        <w:tc>
          <w:tcPr>
            <w:tcW w:w="2176"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730,000,000.00</w:t>
            </w:r>
          </w:p>
        </w:tc>
      </w:tr>
    </w:tbl>
    <w:p>
      <w:pPr>
        <w:rPr>
          <w:rFonts w:hint="eastAsia" w:ascii="楷体" w:hAnsi="楷体" w:eastAsia="楷体" w:cs="楷体"/>
          <w:sz w:val="22"/>
          <w:szCs w:val="24"/>
        </w:rPr>
      </w:pPr>
    </w:p>
    <w:p>
      <w:pPr>
        <w:numPr>
          <w:ilvl w:val="0"/>
          <w:numId w:val="2"/>
        </w:numPr>
        <w:ind w:firstLine="220" w:firstLineChars="100"/>
        <w:rPr>
          <w:rFonts w:hint="eastAsia" w:ascii="楷体" w:hAnsi="楷体" w:eastAsia="楷体" w:cs="楷体"/>
          <w:sz w:val="22"/>
          <w:szCs w:val="24"/>
        </w:rPr>
      </w:pPr>
      <w:r>
        <w:rPr>
          <w:rFonts w:hint="eastAsia" w:ascii="楷体" w:hAnsi="楷体" w:eastAsia="楷体" w:cs="楷体"/>
          <w:sz w:val="22"/>
          <w:szCs w:val="24"/>
        </w:rPr>
        <w:t>报告期内的其他关联交易</w:t>
      </w:r>
    </w:p>
    <w:tbl>
      <w:tblPr>
        <w:tblStyle w:val="9"/>
        <w:tblW w:w="8621" w:type="dxa"/>
        <w:tblInd w:w="0" w:type="dxa"/>
        <w:tblLayout w:type="fixed"/>
        <w:tblCellMar>
          <w:top w:w="0" w:type="dxa"/>
          <w:left w:w="108" w:type="dxa"/>
          <w:bottom w:w="0" w:type="dxa"/>
          <w:right w:w="108" w:type="dxa"/>
        </w:tblCellMar>
      </w:tblPr>
      <w:tblGrid>
        <w:gridCol w:w="1930"/>
        <w:gridCol w:w="3540"/>
        <w:gridCol w:w="3151"/>
      </w:tblGrid>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交易类型</w:t>
            </w: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31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关联交易金额（元）</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回购</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东吴证券股份有限公司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2,675,195,705.65</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代销费</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江苏银行股份有限公司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1,958,221.32</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托管费</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江苏银行股份有限公司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1,520,138.26</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回购</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江苏省国际信托有限责任公司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359,500,000.00</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二级交易</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江苏省国际信托有限责任公司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51,699,194.88</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回购</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华泰证券(上海)资产管理有限公司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167,500,000.00</w:t>
            </w:r>
          </w:p>
        </w:tc>
      </w:tr>
    </w:tbl>
    <w:p>
      <w:pPr>
        <w:pStyle w:val="14"/>
        <w:rPr>
          <w:rFonts w:hint="eastAsia" w:ascii="楷体" w:hAnsi="楷体" w:eastAsia="楷体" w:cs="楷体"/>
          <w:sz w:val="21"/>
          <w:szCs w:val="21"/>
        </w:rPr>
      </w:pPr>
      <w:r>
        <w:rPr>
          <w:rFonts w:hint="eastAsia" w:ascii="楷体" w:hAnsi="楷体" w:eastAsia="楷体" w:cs="楷体"/>
          <w:sz w:val="21"/>
          <w:szCs w:val="21"/>
        </w:rPr>
        <w:t>注：本报告中理财产品托管费、代销费、直销费均基于产品实际支付金额进行统计。</w:t>
      </w:r>
    </w:p>
    <w:p>
      <w:pPr>
        <w:pStyle w:val="14"/>
        <w:rPr>
          <w:rFonts w:hint="eastAsia" w:ascii="楷体" w:hAnsi="楷体" w:eastAsia="楷体" w:cs="楷体"/>
        </w:rPr>
      </w:pPr>
    </w:p>
    <w:p>
      <w:pPr>
        <w:rPr>
          <w:rFonts w:hint="eastAsia" w:ascii="楷体" w:hAnsi="楷体" w:eastAsia="楷体" w:cs="楷体"/>
          <w:sz w:val="22"/>
          <w:szCs w:val="24"/>
        </w:rPr>
      </w:pPr>
      <w:r>
        <w:rPr>
          <w:rFonts w:hint="eastAsia" w:ascii="楷体" w:hAnsi="楷体" w:eastAsia="楷体" w:cs="楷体"/>
          <w:sz w:val="22"/>
          <w:szCs w:val="24"/>
        </w:rPr>
        <w:t>（五）自有资金投资情况</w:t>
      </w:r>
    </w:p>
    <w:tbl>
      <w:tblPr>
        <w:tblStyle w:val="9"/>
        <w:tblW w:w="7299" w:type="dxa"/>
        <w:tblInd w:w="0" w:type="dxa"/>
        <w:tblLayout w:type="fixed"/>
        <w:tblCellMar>
          <w:top w:w="0" w:type="dxa"/>
          <w:left w:w="108" w:type="dxa"/>
          <w:bottom w:w="0" w:type="dxa"/>
          <w:right w:w="108" w:type="dxa"/>
        </w:tblCellMar>
      </w:tblPr>
      <w:tblGrid>
        <w:gridCol w:w="2796"/>
        <w:gridCol w:w="4503"/>
      </w:tblGrid>
      <w:tr>
        <w:tblPrEx>
          <w:tblCellMar>
            <w:top w:w="0" w:type="dxa"/>
            <w:left w:w="108" w:type="dxa"/>
            <w:bottom w:w="0" w:type="dxa"/>
            <w:right w:w="108" w:type="dxa"/>
          </w:tblCellMar>
        </w:tblPrEx>
        <w:trPr>
          <w:trHeight w:val="311" w:hRule="atLeast"/>
        </w:trPr>
        <w:tc>
          <w:tcPr>
            <w:tcW w:w="27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产品名称</w:t>
            </w:r>
          </w:p>
        </w:tc>
        <w:tc>
          <w:tcPr>
            <w:tcW w:w="45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持有份额（份）</w:t>
            </w:r>
          </w:p>
        </w:tc>
      </w:tr>
      <w:tr>
        <w:tblPrEx>
          <w:tblCellMar>
            <w:top w:w="0" w:type="dxa"/>
            <w:left w:w="108" w:type="dxa"/>
            <w:bottom w:w="0" w:type="dxa"/>
            <w:right w:w="108" w:type="dxa"/>
          </w:tblCellMar>
        </w:tblPrEx>
        <w:trPr>
          <w:trHeight w:val="378" w:hRule="atLeast"/>
        </w:trPr>
        <w:tc>
          <w:tcPr>
            <w:tcW w:w="279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4503"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r>
    </w:tbl>
    <w:p>
      <w:pPr>
        <w:ind w:firstLine="420" w:firstLineChars="200"/>
        <w:rPr>
          <w:rFonts w:hint="eastAsia" w:ascii="楷体" w:hAnsi="楷体" w:eastAsia="楷体" w:cs="楷体"/>
          <w:bCs/>
          <w:kern w:val="0"/>
          <w:sz w:val="21"/>
          <w:szCs w:val="21"/>
        </w:rPr>
      </w:pPr>
      <w:r>
        <w:rPr>
          <w:rFonts w:hint="eastAsia" w:ascii="楷体" w:hAnsi="楷体" w:eastAsia="楷体" w:cs="楷体"/>
          <w:bCs/>
          <w:kern w:val="0"/>
          <w:sz w:val="21"/>
          <w:szCs w:val="21"/>
        </w:rPr>
        <w:t>本公司自有资金投资本公司管理的理财产品适用的费率均不优于其他投资者。</w:t>
      </w:r>
    </w:p>
    <w:p>
      <w:pPr>
        <w:ind w:firstLine="560" w:firstLineChars="200"/>
        <w:rPr>
          <w:rFonts w:hint="eastAsia" w:ascii="楷体" w:hAnsi="楷体" w:eastAsia="楷体" w:cs="楷体"/>
          <w:bCs/>
          <w:kern w:val="0"/>
          <w:szCs w:val="21"/>
        </w:rPr>
      </w:pPr>
    </w:p>
    <w:p>
      <w:pPr>
        <w:rPr>
          <w:rFonts w:hint="eastAsia" w:ascii="楷体" w:hAnsi="楷体" w:eastAsia="楷体" w:cs="楷体"/>
          <w:sz w:val="22"/>
          <w:szCs w:val="24"/>
        </w:rPr>
      </w:pPr>
      <w:r>
        <w:rPr>
          <w:rFonts w:hint="eastAsia" w:ascii="楷体" w:hAnsi="楷体" w:eastAsia="楷体" w:cs="楷体"/>
          <w:sz w:val="22"/>
          <w:szCs w:val="24"/>
        </w:rPr>
        <w:t>（六）理财产品份额变动情况</w:t>
      </w:r>
    </w:p>
    <w:tbl>
      <w:tblPr>
        <w:tblStyle w:val="9"/>
        <w:tblW w:w="7305" w:type="dxa"/>
        <w:tblInd w:w="0" w:type="dxa"/>
        <w:tblLayout w:type="fixed"/>
        <w:tblCellMar>
          <w:top w:w="0" w:type="dxa"/>
          <w:left w:w="108" w:type="dxa"/>
          <w:bottom w:w="0" w:type="dxa"/>
          <w:right w:w="108" w:type="dxa"/>
        </w:tblCellMar>
      </w:tblPr>
      <w:tblGrid>
        <w:gridCol w:w="2798"/>
        <w:gridCol w:w="4507"/>
      </w:tblGrid>
      <w:tr>
        <w:tblPrEx>
          <w:tblCellMar>
            <w:top w:w="0" w:type="dxa"/>
            <w:left w:w="108" w:type="dxa"/>
            <w:bottom w:w="0" w:type="dxa"/>
            <w:right w:w="108" w:type="dxa"/>
          </w:tblCellMar>
        </w:tblPrEx>
        <w:trPr>
          <w:trHeight w:val="311" w:hRule="atLeast"/>
        </w:trPr>
        <w:tc>
          <w:tcPr>
            <w:tcW w:w="2798"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日期</w:t>
            </w:r>
          </w:p>
        </w:tc>
        <w:tc>
          <w:tcPr>
            <w:tcW w:w="4507"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持有份额（份）</w:t>
            </w:r>
          </w:p>
        </w:tc>
      </w:tr>
      <w:tr>
        <w:tblPrEx>
          <w:tblCellMar>
            <w:top w:w="0" w:type="dxa"/>
            <w:left w:w="108" w:type="dxa"/>
            <w:bottom w:w="0" w:type="dxa"/>
            <w:right w:w="108" w:type="dxa"/>
          </w:tblCellMar>
        </w:tblPrEx>
        <w:trPr>
          <w:trHeight w:val="320" w:hRule="atLeast"/>
        </w:trPr>
        <w:tc>
          <w:tcPr>
            <w:tcW w:w="2798" w:type="dxa"/>
            <w:tcBorders>
              <w:top w:val="single" w:color="000000" w:sz="4" w:space="0"/>
              <w:left w:val="single" w:color="000000" w:sz="4" w:space="0"/>
              <w:bottom w:val="single" w:color="000000" w:sz="4" w:space="0"/>
              <w:right w:val="single" w:color="000000" w:sz="4" w:space="0"/>
            </w:tcBorders>
          </w:tcPr>
          <w:p>
            <w:pPr>
              <w:jc w:val="center"/>
              <w:rPr>
                <w:rFonts w:hint="eastAsia" w:ascii="楷体" w:hAnsi="楷体" w:eastAsia="楷体" w:cs="楷体"/>
                <w:sz w:val="22"/>
              </w:rPr>
            </w:pPr>
            <w:r>
              <w:rPr>
                <w:rFonts w:hint="eastAsia" w:ascii="楷体" w:hAnsi="楷体" w:eastAsia="楷体" w:cs="楷体"/>
                <w:sz w:val="22"/>
              </w:rPr>
              <w:t>2025-06-30</w:t>
            </w:r>
          </w:p>
        </w:tc>
        <w:tc>
          <w:tcPr>
            <w:tcW w:w="4507" w:type="dxa"/>
            <w:tcBorders>
              <w:top w:val="single" w:color="000000" w:sz="4" w:space="0"/>
              <w:left w:val="single" w:color="000000" w:sz="4" w:space="0"/>
              <w:bottom w:val="single" w:color="000000" w:sz="4" w:space="0"/>
              <w:right w:val="single" w:color="000000" w:sz="4" w:space="0"/>
            </w:tcBorders>
          </w:tcPr>
          <w:p>
            <w:pPr>
              <w:jc w:val="center"/>
              <w:rPr>
                <w:rFonts w:hint="eastAsia" w:ascii="楷体" w:hAnsi="楷体" w:eastAsia="楷体" w:cs="楷体"/>
                <w:sz w:val="22"/>
              </w:rPr>
            </w:pPr>
            <w:r>
              <w:rPr>
                <w:rFonts w:hint="eastAsia" w:ascii="楷体" w:hAnsi="楷体" w:eastAsia="楷体" w:cs="楷体"/>
                <w:sz w:val="22"/>
              </w:rPr>
              <w:t>16,162,891,224.38</w:t>
            </w:r>
          </w:p>
        </w:tc>
      </w:tr>
      <w:tr>
        <w:tblPrEx>
          <w:tblCellMar>
            <w:top w:w="0" w:type="dxa"/>
            <w:left w:w="108" w:type="dxa"/>
            <w:bottom w:w="0" w:type="dxa"/>
            <w:right w:w="108" w:type="dxa"/>
          </w:tblCellMar>
        </w:tblPrEx>
        <w:trPr>
          <w:trHeight w:val="320" w:hRule="atLeast"/>
        </w:trPr>
        <w:tc>
          <w:tcPr>
            <w:tcW w:w="2798" w:type="dxa"/>
            <w:tcBorders>
              <w:top w:val="single" w:color="000000" w:sz="4" w:space="0"/>
              <w:left w:val="single" w:color="000000" w:sz="4" w:space="0"/>
              <w:bottom w:val="single" w:color="000000" w:sz="4" w:space="0"/>
              <w:right w:val="single" w:color="000000" w:sz="4" w:space="0"/>
            </w:tcBorders>
          </w:tcPr>
          <w:p>
            <w:pPr>
              <w:pageBreakBefore w:val="0"/>
              <w:jc w:val="center"/>
              <w:textAlignment w:val="auto"/>
            </w:pPr>
            <w:r>
              <w:rPr>
                <w:rFonts w:ascii="楷体" w:hAnsi="楷体" w:eastAsia="楷体" w:cs="楷体"/>
                <w:b w:val="0"/>
                <w:i w:val="0"/>
                <w:strike w:val="0"/>
                <w:color w:val="auto"/>
                <w:position w:val="-1"/>
                <w:sz w:val="22"/>
                <w:u w:val="none"/>
              </w:rPr>
              <w:t>2025-03-31</w:t>
            </w:r>
          </w:p>
        </w:tc>
        <w:tc>
          <w:tcPr>
            <w:tcW w:w="4507" w:type="dxa"/>
            <w:tcBorders>
              <w:top w:val="single" w:color="000000" w:sz="4" w:space="0"/>
              <w:left w:val="single" w:color="000000" w:sz="4" w:space="0"/>
              <w:bottom w:val="single" w:color="000000" w:sz="4" w:space="0"/>
              <w:right w:val="single" w:color="000000" w:sz="4" w:space="0"/>
            </w:tcBorders>
          </w:tcPr>
          <w:p>
            <w:pPr>
              <w:pageBreakBefore w:val="0"/>
              <w:jc w:val="center"/>
              <w:textAlignment w:val="auto"/>
            </w:pPr>
            <w:r>
              <w:rPr>
                <w:rFonts w:ascii="楷体" w:hAnsi="楷体" w:eastAsia="楷体" w:cs="楷体"/>
                <w:b w:val="0"/>
                <w:i w:val="0"/>
                <w:strike w:val="0"/>
                <w:color w:val="auto"/>
                <w:position w:val="-1"/>
                <w:sz w:val="22"/>
                <w:u w:val="none"/>
              </w:rPr>
              <w:t>10,726,100,847.87</w:t>
            </w:r>
          </w:p>
        </w:tc>
      </w:tr>
    </w:tbl>
    <w:p>
      <w:pPr>
        <w:pStyle w:val="14"/>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四</w:t>
      </w:r>
      <w:r>
        <w:rPr>
          <w:rFonts w:hint="eastAsia" w:ascii="楷体" w:hAnsi="楷体" w:cs="楷体"/>
          <w:lang w:eastAsia="zh-CN"/>
        </w:rPr>
        <w:t>、</w:t>
      </w:r>
      <w:r>
        <w:rPr>
          <w:rFonts w:hint="eastAsia" w:ascii="楷体" w:hAnsi="楷体" w:eastAsia="楷体" w:cs="楷体"/>
        </w:rPr>
        <w:t>投资运作情况</w:t>
      </w:r>
    </w:p>
    <w:p>
      <w:pPr>
        <w:pStyle w:val="2"/>
        <w:rPr>
          <w:rFonts w:hint="eastAsia" w:ascii="楷体" w:hAnsi="楷体" w:eastAsia="楷体" w:cs="楷体"/>
          <w:b w:val="0"/>
          <w:sz w:val="21"/>
        </w:rPr>
      </w:pPr>
      <w:r>
        <w:rPr>
          <w:rFonts w:hint="eastAsia" w:ascii="楷体" w:hAnsi="楷体" w:eastAsia="楷体" w:cs="楷体"/>
          <w:b w:val="0"/>
          <w:sz w:val="21"/>
        </w:rPr>
        <w:t>1、运作期回顾</w:t>
      </w:r>
    </w:p>
    <w:p>
      <w:pPr>
        <w:ind w:firstLine="420" w:firstLineChars="200"/>
        <w:rPr>
          <w:rFonts w:hint="eastAsia" w:ascii="楷体" w:hAnsi="楷体" w:eastAsia="楷体"/>
          <w:bCs/>
          <w:kern w:val="0"/>
          <w:sz w:val="21"/>
          <w:szCs w:val="21"/>
          <w:lang w:eastAsia="zh-CN"/>
        </w:rPr>
      </w:pPr>
      <w:r>
        <w:rPr>
          <w:rFonts w:hint="eastAsia" w:ascii="楷体" w:hAnsi="楷体" w:eastAsia="楷体"/>
          <w:bCs/>
          <w:kern w:val="0"/>
          <w:sz w:val="21"/>
          <w:szCs w:val="21"/>
        </w:rPr>
        <w:t>2025年上半年债市呈高波动、重交易的特征，债券收益率曲线平坦化</w:t>
      </w:r>
      <w:r>
        <w:rPr>
          <w:rFonts w:hint="eastAsia" w:ascii="楷体" w:hAnsi="楷体" w:eastAsia="楷体"/>
          <w:bCs/>
          <w:kern w:val="0"/>
          <w:sz w:val="21"/>
          <w:szCs w:val="21"/>
          <w:lang w:eastAsia="zh-CN"/>
        </w:rPr>
        <w:t>。</w:t>
      </w:r>
      <w:r>
        <w:rPr>
          <w:rFonts w:hint="eastAsia" w:ascii="楷体" w:hAnsi="楷体" w:eastAsia="楷体"/>
          <w:bCs/>
          <w:kern w:val="0"/>
          <w:sz w:val="21"/>
          <w:szCs w:val="21"/>
        </w:rPr>
        <w:t>债市收益率先上后下。年初十年国债收益率围绕1.6%左右震荡。2月以来，央行流动性紧缩叠加股市快速上涨等因素，十年期国债收益率快速上升至1.88%左右。二季度在中美贸易摩擦和央行降准降息的背景下，国债收益率快速下行至1.65%左右，随后维持震荡态势直到季末</w:t>
      </w:r>
      <w:r>
        <w:rPr>
          <w:rFonts w:hint="eastAsia" w:ascii="楷体" w:hAnsi="楷体" w:eastAsia="楷体"/>
          <w:bCs/>
          <w:kern w:val="0"/>
          <w:sz w:val="21"/>
          <w:szCs w:val="21"/>
          <w:lang w:val="en-US" w:eastAsia="zh-CN"/>
        </w:rPr>
        <w:t>。本产品</w:t>
      </w:r>
      <w:r>
        <w:rPr>
          <w:rFonts w:hint="eastAsia" w:ascii="楷体" w:hAnsi="楷体" w:eastAsia="楷体"/>
          <w:bCs/>
          <w:kern w:val="0"/>
          <w:sz w:val="21"/>
          <w:szCs w:val="21"/>
        </w:rPr>
        <w:t>以存款、回购等低波资产筑底，配置部分优质高评级信用债券，灵活调整久期，保持适度弹性，适时参与确定性较强的存单</w:t>
      </w:r>
      <w:r>
        <w:rPr>
          <w:rFonts w:hint="eastAsia" w:ascii="楷体" w:hAnsi="楷体" w:eastAsia="楷体"/>
          <w:bCs/>
          <w:kern w:val="0"/>
          <w:sz w:val="21"/>
          <w:szCs w:val="21"/>
          <w:lang w:eastAsia="zh-CN"/>
        </w:rPr>
        <w:t>、</w:t>
      </w:r>
      <w:r>
        <w:rPr>
          <w:rFonts w:hint="eastAsia" w:ascii="楷体" w:hAnsi="楷体" w:eastAsia="楷体"/>
          <w:bCs/>
          <w:kern w:val="0"/>
          <w:sz w:val="21"/>
          <w:szCs w:val="21"/>
          <w:lang w:val="en-US" w:eastAsia="zh-CN"/>
        </w:rPr>
        <w:t>短债</w:t>
      </w:r>
      <w:r>
        <w:rPr>
          <w:rFonts w:hint="eastAsia" w:ascii="楷体" w:hAnsi="楷体" w:eastAsia="楷体"/>
          <w:bCs/>
          <w:kern w:val="0"/>
          <w:sz w:val="21"/>
          <w:szCs w:val="21"/>
        </w:rPr>
        <w:t>等品种的交易机会，增厚产品收益，进退有度，严控回撤，兼顾低风险偏好和收益性。</w:t>
      </w:r>
    </w:p>
    <w:p>
      <w:pPr>
        <w:pStyle w:val="4"/>
        <w:spacing w:before="43" w:line="275" w:lineRule="auto"/>
        <w:ind w:left="0" w:leftChars="0" w:right="1799" w:firstLine="0" w:firstLineChars="0"/>
        <w:rPr>
          <w:rFonts w:hint="eastAsia" w:ascii="楷体" w:hAnsi="楷体" w:eastAsia="楷体" w:cs="楷体"/>
          <w:spacing w:val="8"/>
          <w:sz w:val="21"/>
        </w:rPr>
      </w:pPr>
    </w:p>
    <w:p>
      <w:pPr>
        <w:pStyle w:val="2"/>
        <w:rPr>
          <w:rFonts w:hint="eastAsia" w:ascii="楷体" w:hAnsi="楷体" w:eastAsia="楷体" w:cs="楷体"/>
          <w:b w:val="0"/>
          <w:sz w:val="21"/>
        </w:rPr>
      </w:pPr>
      <w:r>
        <w:rPr>
          <w:rFonts w:hint="eastAsia" w:ascii="楷体" w:hAnsi="楷体" w:eastAsia="楷体" w:cs="楷体"/>
          <w:b w:val="0"/>
          <w:sz w:val="21"/>
        </w:rPr>
        <w:t>2、后市展望及下阶段投资策略</w:t>
      </w:r>
    </w:p>
    <w:p>
      <w:pPr>
        <w:ind w:firstLine="420" w:firstLineChars="200"/>
        <w:rPr>
          <w:rFonts w:hint="eastAsia" w:ascii="楷体" w:hAnsi="楷体" w:eastAsia="楷体"/>
          <w:bCs/>
          <w:kern w:val="0"/>
          <w:sz w:val="21"/>
          <w:szCs w:val="21"/>
        </w:rPr>
      </w:pPr>
      <w:r>
        <w:rPr>
          <w:rFonts w:hint="eastAsia" w:ascii="楷体" w:hAnsi="楷体" w:eastAsia="楷体"/>
          <w:bCs/>
          <w:kern w:val="0"/>
          <w:sz w:val="21"/>
          <w:szCs w:val="21"/>
          <w:lang w:val="en-US" w:eastAsia="zh-CN"/>
        </w:rPr>
        <w:t>基本面来看，</w:t>
      </w:r>
      <w:r>
        <w:rPr>
          <w:rFonts w:hint="eastAsia" w:ascii="楷体" w:hAnsi="楷体" w:eastAsia="楷体"/>
          <w:bCs/>
          <w:kern w:val="0"/>
          <w:sz w:val="21"/>
          <w:szCs w:val="21"/>
        </w:rPr>
        <w:t>上半年我国经济顶住压力实现较高增长，GDP同比增速录得5.3%，其中一、二季度GDP分别增长5.4%、5.2%。上半年我国社零额累计实现5%的增长，较一季度增加1.5个百分点，且高于去年全年水平，消费整体仍延续改善的趋势。新动能持续形成高贡献，外需相关行业生产边际修复，但与内需挂钩的上游工业生产仍然偏弱。</w:t>
      </w:r>
    </w:p>
    <w:p>
      <w:pPr>
        <w:ind w:firstLine="420" w:firstLineChars="200"/>
        <w:rPr>
          <w:rFonts w:hint="eastAsia" w:ascii="楷体" w:hAnsi="楷体" w:eastAsia="楷体"/>
          <w:bCs/>
          <w:kern w:val="0"/>
          <w:sz w:val="21"/>
          <w:szCs w:val="21"/>
        </w:rPr>
      </w:pPr>
      <w:r>
        <w:rPr>
          <w:rFonts w:hint="eastAsia" w:ascii="楷体" w:hAnsi="楷体" w:eastAsia="楷体"/>
          <w:bCs/>
          <w:kern w:val="0"/>
          <w:sz w:val="21"/>
          <w:szCs w:val="21"/>
        </w:rPr>
        <w:t>展望下半年，</w:t>
      </w:r>
      <w:r>
        <w:rPr>
          <w:rFonts w:hint="eastAsia" w:ascii="楷体" w:hAnsi="楷体" w:eastAsia="楷体"/>
          <w:bCs/>
          <w:kern w:val="0"/>
          <w:sz w:val="21"/>
          <w:szCs w:val="21"/>
          <w:lang w:val="en-US" w:eastAsia="zh-CN"/>
        </w:rPr>
        <w:t>债券低利率环境下，权益市场</w:t>
      </w:r>
      <w:r>
        <w:rPr>
          <w:rFonts w:hint="eastAsia" w:ascii="楷体" w:hAnsi="楷体" w:eastAsia="楷体"/>
          <w:bCs/>
          <w:kern w:val="0"/>
          <w:sz w:val="21"/>
          <w:szCs w:val="21"/>
        </w:rPr>
        <w:t>风险偏好</w:t>
      </w:r>
      <w:r>
        <w:rPr>
          <w:rFonts w:hint="eastAsia" w:ascii="楷体" w:hAnsi="楷体" w:eastAsia="楷体"/>
          <w:bCs/>
          <w:kern w:val="0"/>
          <w:sz w:val="21"/>
          <w:szCs w:val="21"/>
          <w:lang w:val="en-US" w:eastAsia="zh-CN"/>
        </w:rPr>
        <w:t>提升</w:t>
      </w:r>
      <w:r>
        <w:rPr>
          <w:rFonts w:hint="eastAsia" w:ascii="楷体" w:hAnsi="楷体" w:eastAsia="楷体"/>
          <w:bCs/>
          <w:kern w:val="0"/>
          <w:sz w:val="21"/>
          <w:szCs w:val="21"/>
        </w:rPr>
        <w:t>，</w:t>
      </w:r>
      <w:r>
        <w:rPr>
          <w:rFonts w:hint="eastAsia" w:ascii="楷体" w:hAnsi="楷体" w:eastAsia="楷体"/>
          <w:bCs/>
          <w:kern w:val="0"/>
          <w:sz w:val="21"/>
          <w:szCs w:val="21"/>
          <w:lang w:val="en-US" w:eastAsia="zh-CN"/>
        </w:rPr>
        <w:t>股市强势上涨带来股债跷跷板效应，</w:t>
      </w:r>
      <w:r>
        <w:rPr>
          <w:rFonts w:hint="eastAsia" w:ascii="楷体" w:hAnsi="楷体" w:eastAsia="楷体"/>
          <w:bCs/>
          <w:kern w:val="0"/>
          <w:sz w:val="21"/>
          <w:szCs w:val="21"/>
        </w:rPr>
        <w:t>债市</w:t>
      </w:r>
      <w:r>
        <w:rPr>
          <w:rFonts w:hint="eastAsia" w:ascii="楷体" w:hAnsi="楷体" w:eastAsia="楷体"/>
          <w:bCs/>
          <w:kern w:val="0"/>
          <w:sz w:val="21"/>
          <w:szCs w:val="21"/>
          <w:lang w:val="en-US" w:eastAsia="zh-CN"/>
        </w:rPr>
        <w:t>波动或将加剧</w:t>
      </w:r>
      <w:r>
        <w:rPr>
          <w:rFonts w:hint="eastAsia" w:ascii="楷体" w:hAnsi="楷体" w:eastAsia="楷体"/>
          <w:bCs/>
          <w:kern w:val="0"/>
          <w:sz w:val="21"/>
          <w:szCs w:val="21"/>
          <w:lang w:eastAsia="zh-CN"/>
        </w:rPr>
        <w:t>。</w:t>
      </w:r>
      <w:r>
        <w:rPr>
          <w:rFonts w:hint="eastAsia" w:ascii="楷体" w:hAnsi="楷体" w:eastAsia="楷体"/>
          <w:bCs/>
          <w:kern w:val="0"/>
          <w:sz w:val="21"/>
          <w:szCs w:val="21"/>
          <w:lang w:val="en-US" w:eastAsia="zh-CN"/>
        </w:rPr>
        <w:t>后续</w:t>
      </w:r>
      <w:r>
        <w:rPr>
          <w:rFonts w:hint="eastAsia" w:ascii="楷体" w:hAnsi="楷体" w:eastAsia="楷体"/>
          <w:bCs/>
          <w:kern w:val="0"/>
          <w:sz w:val="21"/>
          <w:szCs w:val="21"/>
        </w:rPr>
        <w:t>我们也将紧密跟踪国内外经济形势和政策变化，加强投资分析研究，继续采取低波动、强稳健的投资策略，加强久期管理和流动性管理，保持合理弹性，严格控制回撤，通过精细化的资产配置、头寸管理和风险控制，致力于为广大投资者创造长期稳健的投资回报。</w:t>
      </w:r>
    </w:p>
    <w:p>
      <w:pPr>
        <w:ind w:firstLine="420" w:firstLineChars="200"/>
        <w:rPr>
          <w:rFonts w:hint="eastAsia" w:ascii="楷体" w:hAnsi="楷体" w:eastAsia="楷体"/>
          <w:bCs/>
          <w:kern w:val="0"/>
          <w:sz w:val="21"/>
          <w:szCs w:val="21"/>
        </w:rPr>
      </w:pPr>
    </w:p>
    <w:p>
      <w:pPr>
        <w:pStyle w:val="2"/>
        <w:rPr>
          <w:rFonts w:hint="eastAsia" w:ascii="楷体" w:hAnsi="楷体" w:eastAsia="楷体" w:cs="楷体"/>
          <w:b w:val="0"/>
          <w:sz w:val="21"/>
        </w:rPr>
      </w:pPr>
      <w:r>
        <w:rPr>
          <w:rFonts w:hint="eastAsia" w:ascii="楷体" w:hAnsi="楷体" w:eastAsia="楷体" w:cs="楷体"/>
          <w:b w:val="0"/>
          <w:sz w:val="21"/>
        </w:rPr>
        <w:t>3、流动性风险分析</w:t>
      </w:r>
    </w:p>
    <w:p>
      <w:pPr>
        <w:ind w:firstLine="420" w:firstLineChars="200"/>
        <w:rPr>
          <w:rFonts w:hint="eastAsia" w:ascii="楷体" w:hAnsi="楷体" w:eastAsia="楷体"/>
          <w:bCs/>
          <w:kern w:val="0"/>
          <w:sz w:val="21"/>
          <w:szCs w:val="21"/>
        </w:rPr>
      </w:pPr>
      <w:r>
        <w:rPr>
          <w:rFonts w:hint="eastAsia" w:ascii="楷体" w:hAnsi="楷体" w:eastAsia="楷体"/>
          <w:bCs/>
          <w:kern w:val="0"/>
          <w:sz w:val="21"/>
          <w:szCs w:val="21"/>
        </w:rPr>
        <w:t>本产品在资产配置上以存款类资产以及优质标准化债权类资产为主，变现能力较强，并通过资产久期管理、流动性指标监控等多项措施，维持流动性处于合理充裕水平，确保本产品资产的变现能力与投资者赎回需求相匹配。</w:t>
      </w:r>
    </w:p>
    <w:p>
      <w:pPr>
        <w:pStyle w:val="4"/>
        <w:spacing w:before="0" w:line="240" w:lineRule="auto"/>
        <w:ind w:left="0" w:right="0" w:firstLine="0" w:firstLineChars="0"/>
        <w:rPr>
          <w:rFonts w:hint="eastAsia" w:ascii="楷体" w:hAnsi="楷体" w:eastAsia="楷体" w:cs="楷体"/>
          <w:spacing w:val="9"/>
          <w:sz w:val="21"/>
        </w:rPr>
      </w:pPr>
    </w:p>
    <w:p>
      <w:pPr>
        <w:pStyle w:val="2"/>
        <w:rPr>
          <w:rFonts w:ascii="楷体" w:hAnsi="楷体"/>
          <w:sz w:val="24"/>
          <w:szCs w:val="24"/>
        </w:rPr>
      </w:pPr>
      <w:r>
        <w:rPr>
          <w:rFonts w:hint="eastAsia" w:ascii="楷体" w:hAnsi="楷体"/>
          <w:sz w:val="24"/>
          <w:szCs w:val="24"/>
        </w:rPr>
        <w:t>五</w:t>
      </w:r>
      <w:r>
        <w:rPr>
          <w:rFonts w:hint="eastAsia" w:ascii="楷体" w:hAnsi="楷体"/>
          <w:sz w:val="24"/>
          <w:szCs w:val="24"/>
          <w:lang w:eastAsia="zh-CN"/>
        </w:rPr>
        <w:t>、</w:t>
      </w:r>
      <w:r>
        <w:rPr>
          <w:rFonts w:hint="eastAsia" w:ascii="楷体" w:hAnsi="楷体"/>
          <w:sz w:val="24"/>
          <w:szCs w:val="24"/>
        </w:rPr>
        <w:t>托管人报告</w:t>
      </w:r>
    </w:p>
    <w:p>
      <w:pPr>
        <w:ind w:firstLine="420" w:firstLineChars="200"/>
        <w:rPr>
          <w:rFonts w:hint="eastAsia" w:ascii="楷体" w:hAnsi="楷体" w:eastAsia="楷体"/>
          <w:bCs/>
          <w:kern w:val="0"/>
          <w:sz w:val="21"/>
          <w:szCs w:val="21"/>
          <w:lang w:val="en-US" w:eastAsia="zh-CN"/>
        </w:rPr>
      </w:pPr>
      <w:r>
        <w:rPr>
          <w:rFonts w:hint="eastAsia" w:ascii="楷体" w:hAnsi="楷体" w:eastAsia="楷体"/>
          <w:bCs/>
          <w:kern w:val="0"/>
          <w:sz w:val="21"/>
          <w:szCs w:val="21"/>
        </w:rPr>
        <w:t>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r>
        <w:rPr>
          <w:rFonts w:hint="eastAsia" w:ascii="楷体" w:hAnsi="楷体" w:eastAsia="楷体"/>
          <w:bCs/>
          <w:kern w:val="0"/>
          <w:sz w:val="21"/>
          <w:szCs w:val="21"/>
          <w:lang w:val="en-US" w:eastAsia="zh-CN"/>
        </w:rPr>
        <w:tab/>
      </w:r>
      <w:bookmarkStart w:id="1" w:name="_GoBack"/>
      <w:bookmarkEnd w:id="1"/>
    </w:p>
    <w:p>
      <w:pPr>
        <w:rPr>
          <w:rFonts w:hint="eastAsia" w:ascii="楷体" w:hAnsi="楷体" w:eastAsia="楷体" w:cs="楷体"/>
          <w:sz w:val="21"/>
          <w:szCs w:val="21"/>
        </w:rPr>
      </w:pPr>
    </w:p>
    <w:p>
      <w:pPr>
        <w:jc w:val="right"/>
        <w:rPr>
          <w:rFonts w:hint="eastAsia" w:ascii="楷体" w:hAnsi="楷体" w:eastAsia="楷体" w:cs="楷体"/>
          <w:sz w:val="21"/>
          <w:szCs w:val="21"/>
        </w:rPr>
      </w:pPr>
      <w:r>
        <w:rPr>
          <w:rFonts w:hint="eastAsia" w:ascii="楷体" w:hAnsi="楷体" w:eastAsia="楷体" w:cs="楷体"/>
          <w:b/>
          <w:sz w:val="21"/>
          <w:szCs w:val="21"/>
        </w:rPr>
        <w:t>苏银理财有限责任公司</w:t>
      </w:r>
    </w:p>
    <w:p>
      <w:pPr>
        <w:ind w:firstLine="630" w:firstLineChars="300"/>
        <w:jc w:val="right"/>
        <w:rPr>
          <w:rFonts w:hint="eastAsia" w:ascii="楷体" w:hAnsi="楷体" w:eastAsia="楷体" w:cs="楷体"/>
          <w:sz w:val="21"/>
          <w:szCs w:val="21"/>
        </w:rPr>
      </w:pPr>
      <w:r>
        <w:rPr>
          <w:rFonts w:hint="eastAsia" w:ascii="楷体" w:hAnsi="楷体" w:eastAsia="楷体" w:cs="楷体"/>
          <w:sz w:val="21"/>
          <w:szCs w:val="21"/>
        </w:rPr>
        <w:t>2025年06月30日</w:t>
      </w:r>
    </w:p>
    <w:p>
      <w:pPr>
        <w:rPr>
          <w:rFonts w:hint="eastAsia" w:ascii="楷体" w:hAnsi="楷体" w:eastAsia="楷体" w:cs="楷体"/>
          <w:sz w:val="21"/>
          <w:szCs w:val="21"/>
        </w:rPr>
      </w:pPr>
    </w:p>
    <w:p>
      <w:pPr>
        <w:rPr>
          <w:rFonts w:hint="eastAsia" w:ascii="楷体" w:hAnsi="楷体" w:eastAsia="楷体" w:cs="楷体"/>
          <w:sz w:val="21"/>
          <w:szCs w:val="21"/>
        </w:rPr>
      </w:pPr>
      <w:r>
        <w:rPr>
          <w:rFonts w:hint="eastAsia" w:ascii="楷体" w:hAnsi="楷体" w:eastAsia="楷体" w:cs="楷体"/>
          <w:sz w:val="21"/>
          <w:szCs w:val="21"/>
        </w:rPr>
        <w:t>备注：本次披露内容解释权归苏银理财所有，不构成任何形式的法律要约或承诺。</w:t>
      </w: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4</w:t>
    </w:r>
    <w:r>
      <w:rPr>
        <w:b/>
        <w:bCs/>
        <w:sz w:val="24"/>
        <w:szCs w:val="24"/>
      </w:rP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kinsoku w:val="0"/>
      <w:overflowPunct w:val="0"/>
      <w:spacing w:before="0" w:line="320" w:lineRule="exact"/>
      <w:ind w:left="20"/>
      <w:jc w:val="both"/>
      <w:rPr>
        <w:rFonts w:ascii="楷体" w:hAnsi="楷体" w:eastAsia="楷体" w:cs="黑体"/>
        <w:b/>
        <w:spacing w:val="-2"/>
        <w:sz w:val="24"/>
        <w:szCs w:val="24"/>
      </w:rPr>
    </w:pPr>
    <w:r>
      <w:pict>
        <v:shape id="WordPictureWatermark1026" o:spid="_x0000_s2050" o:spt="75" type="#_x0000_t75" style="position:absolute;left:0pt;height:862.85pt;width:1137.3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gain="19661f" blacklevel="22938f" o:title="苏银理财"/>
          <o:lock v:ext="edit" aspectratio="t"/>
        </v:shape>
      </w:pict>
    </w:r>
    <w:r>
      <w:pict>
        <v:shape id="图片 1" o:spid="_x0000_s2051" o:spt="75" type="#_x0000_t75" style="position:absolute;left:0pt;margin-left:308.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2" o:title=""/>
          <o:lock v:ext="edit"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WordPictureWatermark1025" o:spid="_x0000_s204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WordPictureWatermark1027" o:spid="_x0000_s205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3"/>
      <w:numFmt w:val="decimal"/>
      <w:suff w:val="nothing"/>
      <w:lvlText w:val="%1）"/>
      <w:lvlJc w:val="left"/>
    </w:lvl>
  </w:abstractNum>
  <w:abstractNum w:abstractNumId="1">
    <w:nsid w:val="0248C179"/>
    <w:multiLevelType w:val="singleLevel"/>
    <w:tmpl w:val="0248C179"/>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w:rsids>
    <w:rsidRoot w:val="00000000"/>
    <w:rsid w:val="2D0C14C0"/>
    <w:rsid w:val="5F023D23"/>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99"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宋体"/>
      <w:kern w:val="2"/>
      <w:sz w:val="28"/>
      <w:szCs w:val="22"/>
      <w:lang w:val="en-US" w:eastAsia="zh-CN" w:bidi="ar-SA"/>
    </w:rPr>
  </w:style>
  <w:style w:type="paragraph" w:styleId="2">
    <w:name w:val="heading 3"/>
    <w:basedOn w:val="1"/>
    <w:next w:val="1"/>
    <w:link w:val="23"/>
    <w:qFormat/>
    <w:uiPriority w:val="1"/>
    <w:pPr>
      <w:autoSpaceDE w:val="0"/>
      <w:autoSpaceDN w:val="0"/>
      <w:adjustRightInd w:val="0"/>
      <w:spacing w:before="34"/>
      <w:ind w:left="120"/>
      <w:jc w:val="left"/>
      <w:outlineLvl w:val="2"/>
    </w:pPr>
    <w:rPr>
      <w:rFonts w:ascii="宋体" w:hAnsi="Times New Roman" w:eastAsia="楷体"/>
      <w:b/>
      <w:bCs/>
      <w:kern w:val="0"/>
      <w:sz w:val="24"/>
      <w:szCs w:val="21"/>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1"/>
    <w:pPr>
      <w:autoSpaceDE w:val="0"/>
      <w:autoSpaceDN w:val="0"/>
      <w:adjustRightInd w:val="0"/>
      <w:spacing w:before="162"/>
      <w:ind w:left="120"/>
      <w:jc w:val="left"/>
    </w:pPr>
    <w:rPr>
      <w:rFonts w:ascii="宋体" w:hAnsi="Times New Roman" w:eastAsia="宋体" w:cs="宋体"/>
      <w:kern w:val="0"/>
      <w:sz w:val="20"/>
      <w:szCs w:val="21"/>
    </w:rPr>
  </w:style>
  <w:style w:type="paragraph" w:styleId="5">
    <w:name w:val="Balloon Text"/>
    <w:basedOn w:val="1"/>
    <w:unhideWhenUsed/>
    <w:qFormat/>
    <w:uiPriority w:val="99"/>
    <w:rPr>
      <w:sz w:val="18"/>
      <w:szCs w:val="18"/>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unhideWhenUsed/>
    <w:qFormat/>
    <w:uiPriority w:val="99"/>
    <w:rPr>
      <w:sz w:val="21"/>
      <w:szCs w:val="21"/>
    </w:rPr>
  </w:style>
  <w:style w:type="paragraph" w:customStyle="1" w:styleId="13">
    <w:name w:val="无间隔1"/>
    <w:qFormat/>
    <w:uiPriority w:val="1"/>
    <w:pPr>
      <w:widowControl w:val="0"/>
      <w:jc w:val="both"/>
    </w:pPr>
    <w:rPr>
      <w:rFonts w:ascii="等线" w:hAnsi="等线" w:eastAsia="等线" w:cs="Times New Roman"/>
      <w:kern w:val="2"/>
      <w:sz w:val="21"/>
      <w:szCs w:val="22"/>
      <w:lang w:val="en-US" w:eastAsia="zh-CN" w:bidi="ar-SA"/>
    </w:rPr>
  </w:style>
  <w:style w:type="paragraph" w:customStyle="1" w:styleId="14">
    <w:name w:val="标题4"/>
    <w:basedOn w:val="1"/>
    <w:qFormat/>
    <w:uiPriority w:val="0"/>
    <w:rPr>
      <w:rFonts w:eastAsia="楷体"/>
    </w:rPr>
  </w:style>
  <w:style w:type="character" w:customStyle="1" w:styleId="15">
    <w:name w:val="页眉 字符"/>
    <w:qFormat/>
    <w:uiPriority w:val="99"/>
    <w:rPr>
      <w:sz w:val="18"/>
      <w:szCs w:val="18"/>
    </w:rPr>
  </w:style>
  <w:style w:type="character" w:customStyle="1" w:styleId="16">
    <w:name w:val="页脚 字符"/>
    <w:qFormat/>
    <w:uiPriority w:val="99"/>
    <w:rPr>
      <w:sz w:val="18"/>
      <w:szCs w:val="18"/>
    </w:rPr>
  </w:style>
  <w:style w:type="character" w:customStyle="1" w:styleId="17">
    <w:name w:val="正文文本 字符1"/>
    <w:qFormat/>
    <w:uiPriority w:val="1"/>
    <w:rPr>
      <w:rFonts w:ascii="宋体" w:hAnsi="Times New Roman" w:eastAsia="宋体" w:cs="宋体"/>
      <w:szCs w:val="21"/>
    </w:rPr>
  </w:style>
  <w:style w:type="character" w:customStyle="1" w:styleId="18">
    <w:name w:val="正文文本 字符"/>
    <w:semiHidden/>
    <w:qFormat/>
    <w:uiPriority w:val="99"/>
    <w:rPr>
      <w:kern w:val="2"/>
      <w:sz w:val="21"/>
      <w:szCs w:val="22"/>
    </w:rPr>
  </w:style>
  <w:style w:type="character" w:customStyle="1" w:styleId="19">
    <w:name w:val="批注文字 字符1"/>
    <w:qFormat/>
    <w:uiPriority w:val="99"/>
    <w:rPr>
      <w:kern w:val="2"/>
      <w:sz w:val="21"/>
      <w:szCs w:val="22"/>
    </w:rPr>
  </w:style>
  <w:style w:type="character" w:customStyle="1" w:styleId="20">
    <w:name w:val="批注文字 字符"/>
    <w:semiHidden/>
    <w:qFormat/>
    <w:uiPriority w:val="99"/>
    <w:rPr>
      <w:kern w:val="2"/>
      <w:sz w:val="21"/>
      <w:szCs w:val="22"/>
    </w:rPr>
  </w:style>
  <w:style w:type="character" w:customStyle="1" w:styleId="21">
    <w:name w:val="批注框文本 字符"/>
    <w:semiHidden/>
    <w:qFormat/>
    <w:uiPriority w:val="99"/>
    <w:rPr>
      <w:kern w:val="2"/>
      <w:sz w:val="18"/>
      <w:szCs w:val="18"/>
    </w:rPr>
  </w:style>
  <w:style w:type="character" w:customStyle="1" w:styleId="22">
    <w:name w:val="标题 3 字符"/>
    <w:semiHidden/>
    <w:qFormat/>
    <w:uiPriority w:val="9"/>
    <w:rPr>
      <w:b/>
      <w:bCs/>
      <w:kern w:val="2"/>
      <w:sz w:val="32"/>
      <w:szCs w:val="32"/>
    </w:rPr>
  </w:style>
  <w:style w:type="character" w:customStyle="1" w:styleId="23">
    <w:name w:val="标题 3 字符1"/>
    <w:link w:val="2"/>
    <w:qFormat/>
    <w:uiPriority w:val="1"/>
    <w:rPr>
      <w:rFonts w:ascii="宋体" w:hAnsi="Times New Roman" w:eastAsia="楷体"/>
      <w:b/>
      <w:bCs/>
      <w:sz w:val="24"/>
      <w:szCs w:val="21"/>
    </w:rPr>
  </w:style>
  <w:style w:type="character" w:customStyle="1" w:styleId="24">
    <w:name w:val="标题4 字符"/>
    <w:qFormat/>
    <w:uiPriority w:val="0"/>
    <w:rPr>
      <w:rFonts w:eastAsia="楷体"/>
      <w:kern w:val="2"/>
      <w:sz w:val="21"/>
      <w:szCs w:val="22"/>
    </w:rPr>
  </w:style>
  <w:style w:type="paragraph" w:customStyle="1" w:styleId="25">
    <w:name w:val="Table Text"/>
    <w:basedOn w:val="1"/>
    <w:semiHidden/>
    <w:qFormat/>
    <w:uiPriority w:val="0"/>
    <w:rPr>
      <w:rFonts w:ascii="楷体" w:hAnsi="楷体" w:eastAsia="楷体" w:cs="楷体"/>
      <w:sz w:val="22"/>
    </w:rPr>
  </w:style>
  <w:style w:type="table" w:customStyle="1" w:styleId="2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51"/>
    <customShpInfo spid="_x0000_s2049"/>
    <customShpInfo spid="_x0000_s2052"/>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3.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2025-08-01T01:50:06Z</dcterms:modified>
  <cp:revision>22</cp:revision>
  <dc:title>“${prdInfo.PRD_NAME}”理财产品</dc:title>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174f15-3280-4f1d-b9df-588147a59f76}">
  <ds:schemaRefs/>
</ds:datastoreItem>
</file>

<file path=customXml/itemProps3.xml><?xml version="1.0" encoding="utf-8"?>
<ds:datastoreItem xmlns:ds="http://schemas.openxmlformats.org/officeDocument/2006/customXml" ds:itemID="{8e3993c2-e7b1-457c-9ff2-224f3b7e4668}">
  <ds:schemaRefs/>
</ds:datastoreItem>
</file>

<file path=customXml/itemProps4.xml><?xml version="1.0" encoding="utf-8"?>
<ds:datastoreItem xmlns:ds="http://schemas.openxmlformats.org/officeDocument/2006/customXml" ds:itemID="{ff4607be-63cd-4aa5-9b33-d8dd9ee2815d}">
  <ds:schemaRefs/>
</ds:datastoreItem>
</file>

<file path=docProps/app.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3</TotalTime>
  <ScaleCrop>false</ScaleCrop>
  <LinksUpToDate>false</LinksUpToDate>
  <CharactersWithSpaces>2803</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2021-11-18T10:04:00Z</dcterms:created>
  <dc:creator>User</dc:creator>
  <cp:lastModifiedBy>jsyh</cp:lastModifiedBy>
  <dcterms:modified xsi:type="dcterms:W3CDTF">2025-08-22T10:37:01Z</dcterms:modified>
  <dc:title>_x201C__x0024__x007B_prdInfo.PRD_NAME_x007D__x201D_理财产品</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9661C37A7ABE4AA4B3CBA743768731FD</vt:lpwstr>
  </property>
</Properties>
</file>