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苏银理财恒源灵动最短持有14天2号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2025年半年度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苏银理财恒源灵动最短持有14天2号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2024年11月29日</w:t>
      </w:r>
      <w:r>
        <w:rPr>
          <w:rFonts w:ascii="楷体" w:eastAsia="楷体" w:hAnsi="楷体" w:cs="楷体" w:hint="eastAsia"/>
        </w:rPr>
        <w:t xml:space="preserve">成立，于</w:t>
      </w:r>
      <w:r>
        <w:rPr>
          <w:rFonts w:ascii="楷体" w:eastAsia="楷体" w:hAnsi="楷体" w:cs="楷体" w:hint="eastAsia"/>
          <w:spacing w:val="-7"/>
        </w:rPr>
        <w:t xml:space="preserve">2024年11月29日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产品名称</w:t>
            </w:r>
          </w:p>
        </w:tc>
        <w:tc>
          <w:tcPr>
            <w:tcW w:w="3847" w:type="dxa"/>
          </w:tcPr>
          <w:p>
            <w:pPr>
              <w:pStyle w:val="TableText"/>
              <w:spacing w:before="56" w:line="202" w:lineRule="auto"/>
              <w:jc w:val="center"/>
              <w:rPr>
                <w:rFonts w:ascii="楷体" w:eastAsia="楷体" w:hAnsi="楷体" w:cs="楷体" w:hint="eastAsia"/>
                <w:sz w:val="24"/>
                <w:szCs w:val="24"/>
                <w:highlight w:val="yellow"/>
              </w:rPr>
            </w:pPr>
            <w:r>
              <w:rPr>
                <w:rFonts w:ascii="楷体" w:eastAsia="楷体" w:hAnsi="楷体" w:cs="楷体" w:hint="eastAsia"/>
                <w:spacing w:val="-6"/>
                <w:sz w:val="24"/>
                <w:szCs w:val="24"/>
              </w:rPr>
              <w:t xml:space="preserve">苏银理财恒源灵动最短持有14天2号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Z7003124000168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产品运作方式</w:t>
            </w:r>
          </w:p>
        </w:tc>
        <w:tc>
          <w:tcPr>
            <w:tcW w:w="3847" w:type="dxa"/>
          </w:tcPr>
          <w:p>
            <w:pPr>
              <w:pStyle w:val="TableText"/>
              <w:spacing w:before="52" w:line="201" w:lineRule="auto"/>
              <w:jc w:val="center"/>
              <w:rPr>
                <w:rFonts w:ascii="楷体" w:eastAsia="楷体" w:hAnsi="楷体" w:cs="楷体" w:hint="eastAsia"/>
                <w:sz w:val="24"/>
                <w:szCs w:val="24"/>
                <w:highlight w:val="yellow"/>
              </w:rPr>
            </w:pPr>
            <w:r>
              <w:rPr>
                <w:rFonts w:ascii="楷体" w:eastAsia="楷体" w:hAnsi="楷体" w:cs="楷体" w:hint="eastAsia"/>
                <w:spacing w:val="-2"/>
                <w:sz w:val="24"/>
                <w:szCs w:val="24"/>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3,338,094,400.98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产品资产净值（元）</w:t>
            </w:r>
          </w:p>
        </w:tc>
        <w:tc>
          <w:tcPr>
            <w:tcW w:w="3847" w:type="dxa"/>
          </w:tcPr>
          <w:p>
            <w:pPr>
              <w:pStyle w:val="TableText"/>
              <w:spacing w:before="78" w:line="182"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3,391,817,694.95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风险收益特征</w:t>
            </w:r>
          </w:p>
        </w:tc>
        <w:tc>
          <w:tcPr>
            <w:tcW w:w="3847" w:type="dxa"/>
          </w:tcPr>
          <w:p>
            <w:pPr>
              <w:pStyle w:val="TableText"/>
              <w:spacing w:before="54" w:line="200" w:lineRule="auto"/>
              <w:jc w:val="center"/>
              <w:rPr>
                <w:rFonts w:ascii="楷体" w:eastAsia="楷体" w:hAnsi="楷体" w:cs="楷体" w:hint="eastAsia"/>
                <w:sz w:val="24"/>
                <w:szCs w:val="24"/>
                <w:highlight w:val="yellow"/>
              </w:rPr>
            </w:pPr>
            <w:r>
              <w:rPr>
                <w:rFonts w:ascii="楷体" w:eastAsia="楷体" w:hAnsi="楷体" w:cs="楷体" w:hint="eastAsia"/>
                <w:spacing w:val="-8"/>
                <w:sz w:val="24"/>
                <w:szCs w:val="24"/>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收益类型</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9"/>
                <w:sz w:val="24"/>
                <w:szCs w:val="24"/>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管理人</w:t>
            </w:r>
          </w:p>
        </w:tc>
        <w:tc>
          <w:tcPr>
            <w:tcW w:w="3847" w:type="dxa"/>
          </w:tcPr>
          <w:p>
            <w:pPr>
              <w:pStyle w:val="TableText"/>
              <w:spacing w:before="55" w:line="200"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托管人</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w:t>
            </w:r>
          </w:p>
        </w:tc>
        <w:tc>
          <w:tcPr>
            <w:tcW w:w="3847" w:type="dxa"/>
          </w:tcPr>
          <w:p>
            <w:pPr>
              <w:pStyle w:val="TableText"/>
              <w:spacing w:before="90" w:line="173"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31000188000632102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托管账户开户行</w:t>
            </w:r>
          </w:p>
        </w:tc>
        <w:tc>
          <w:tcPr>
            <w:tcW w:w="3847" w:type="dxa"/>
          </w:tcPr>
          <w:p>
            <w:pPr>
              <w:pStyle w:val="TableText"/>
              <w:spacing w:before="56" w:line="199" w:lineRule="auto"/>
              <w:jc w:val="center"/>
              <w:rPr>
                <w:rFonts w:ascii="楷体" w:eastAsia="楷体" w:hAnsi="楷体" w:cs="楷体" w:hint="eastAsia"/>
                <w:sz w:val="24"/>
                <w:szCs w:val="24"/>
              </w:rPr>
            </w:pPr>
            <w:r>
              <w:rPr>
                <w:rFonts w:ascii="楷体" w:eastAsia="楷体" w:hAnsi="楷体" w:cs="楷体" w:hint="eastAsia"/>
                <w:spacing w:val="-2"/>
                <w:sz w:val="24"/>
                <w:szCs w:val="24"/>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产品资产总值（元）</w:t>
            </w:r>
          </w:p>
        </w:tc>
        <w:tc>
          <w:tcPr>
            <w:tcW w:w="3847" w:type="dxa"/>
          </w:tcPr>
          <w:p>
            <w:pPr>
              <w:pStyle w:val="TableText"/>
              <w:spacing w:before="81" w:line="180" w:lineRule="auto"/>
              <w:jc w:val="center"/>
              <w:rPr>
                <w:rFonts w:ascii="楷体" w:eastAsia="楷体" w:hAnsi="楷体" w:cs="楷体" w:hint="eastAsia"/>
                <w:sz w:val="24"/>
                <w:szCs w:val="24"/>
              </w:rPr>
            </w:pPr>
            <w:r>
              <w:rPr>
                <w:rFonts w:ascii="楷体" w:eastAsia="楷体" w:hAnsi="楷体" w:cs="楷体" w:hint="eastAsia"/>
                <w:spacing w:val="-1"/>
                <w:sz w:val="24"/>
                <w:szCs w:val="24"/>
              </w:rPr>
              <w:t xml:space="preserve">3,392,048,145.05</w:t>
            </w:r>
            <w:r>
              <w:rPr>
                <w:rFonts w:ascii="楷体" w:eastAsia="楷体" w:hAnsi="楷体" w:cs="楷体" w:hint="eastAsia"/>
                <w:spacing w:val="-29"/>
                <w:sz w:val="24"/>
                <w:szCs w:val="24"/>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杠杆水平</w:t>
            </w:r>
          </w:p>
        </w:tc>
        <w:tc>
          <w:tcPr>
            <w:tcW w:w="3847" w:type="dxa"/>
          </w:tcPr>
          <w:p>
            <w:pPr>
              <w:pStyle w:val="TableText"/>
              <w:spacing w:before="56" w:line="202" w:lineRule="auto"/>
              <w:jc w:val="center"/>
              <w:rPr>
                <w:rFonts w:ascii="楷体" w:eastAsia="楷体" w:hAnsi="楷体" w:cs="楷体" w:hint="eastAsia"/>
                <w:sz w:val="24"/>
                <w:szCs w:val="24"/>
              </w:rPr>
            </w:pPr>
            <w:r>
              <w:rPr>
                <w:rFonts w:ascii="楷体" w:eastAsia="楷体" w:hAnsi="楷体" w:cs="楷体" w:hint="eastAsia"/>
                <w:spacing w:val="-4"/>
                <w:sz w:val="24"/>
                <w:szCs w:val="24"/>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报告日期</w:t>
            </w:r>
          </w:p>
        </w:tc>
        <w:tc>
          <w:tcPr>
            <w:tcW w:w="210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销售</w:t>
            </w:r>
            <w:r>
              <w:rPr>
                <w:rFonts w:ascii="楷体" w:eastAsia="楷体" w:hAnsi="楷体" w:cs="楷体" w:hint="eastAsia"/>
                <w:sz w:val="24"/>
                <w:szCs w:val="24"/>
                <w:lang w:eastAsia="zh-CN"/>
              </w:rPr>
              <w:t xml:space="preserve">名</w:t>
            </w:r>
            <w:r>
              <w:rPr>
                <w:rFonts w:ascii="楷体" w:eastAsia="楷体" w:hAnsi="楷体" w:cs="楷体" w:hint="eastAsia"/>
                <w:sz w:val="24"/>
                <w:szCs w:val="24"/>
              </w:rPr>
              <w:t xml:space="preserve">称</w:t>
            </w:r>
          </w:p>
        </w:tc>
        <w:tc>
          <w:tcPr>
            <w:tcW w:w="1470" w:type="dxa"/>
          </w:tcPr>
          <w:p>
            <w:pPr>
              <w:jc w:val="center"/>
              <w:rPr>
                <w:rFonts w:ascii="楷体" w:eastAsia="楷体" w:hAnsi="楷体" w:cs="楷体" w:hint="eastAsia"/>
              </w:rPr>
            </w:pPr>
            <w:r>
              <w:rPr>
                <w:rFonts w:ascii="楷体" w:eastAsia="楷体" w:hAnsi="楷体" w:cs="楷体" w:hint="eastAsia"/>
                <w:sz w:val="24"/>
                <w:szCs w:val="24"/>
              </w:rPr>
              <w:t xml:space="preserve">单位净值</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累计单位净值</w:t>
            </w:r>
          </w:p>
        </w:tc>
        <w:tc>
          <w:tcPr>
            <w:tcW w:w="1876" w:type="dxa"/>
          </w:tcPr>
          <w:p>
            <w:pPr>
              <w:jc w:val="center"/>
              <w:rPr>
                <w:rFonts w:ascii="楷体" w:eastAsia="楷体" w:hAnsi="楷体" w:cs="楷体" w:hint="eastAsia"/>
              </w:rPr>
            </w:pPr>
            <w:r>
              <w:rPr>
                <w:rFonts w:ascii="楷体" w:eastAsia="楷体" w:hAnsi="楷体" w:cs="楷体" w:hint="eastAsia"/>
                <w:sz w:val="24"/>
                <w:szCs w:val="24"/>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2025-06-30</w:t>
            </w:r>
          </w:p>
        </w:tc>
        <w:tc>
          <w:tcPr>
            <w:tcW w:w="210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苏银理财恒源灵动最短持有14天2号A</w:t>
            </w:r>
          </w:p>
        </w:tc>
        <w:tc>
          <w:tcPr>
            <w:tcW w:w="147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1.016256</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1.016256</w:t>
            </w:r>
          </w:p>
        </w:tc>
        <w:tc>
          <w:tcPr>
            <w:tcW w:w="1876"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中债-新综合财富(1年以下)指数*35%+中国人民银行公布的7天通知存款利率*65%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4"/>
                <w:u w:val="none"/>
              </w:rPr>
              <w:t xml:space="preserve">2025-06-30</w:t>
            </w:r>
          </w:p>
        </w:tc>
        <w:tc>
          <w:tcPr>
            <w:tcW w:w="2100" w:type="dxa"/>
          </w:tcPr>
          <w:p>
            <w:pPr>
              <w:pageBreakBefore w:val="0"/>
              <w:jc w:val="center"/>
              <w:textAlignment w:val="auto"/>
            </w:pPr>
            <w:r>
              <w:rPr>
                <w:rFonts w:ascii="楷体" w:eastAsia="楷体" w:hAnsi="楷体" w:cs="楷体"/>
                <w:b w:val="0"/>
                <w:i w:val="0"/>
                <w:strike w:val="0"/>
                <w:color w:val="auto"/>
                <w:position w:val="-1"/>
                <w:sz w:val="24"/>
                <w:u w:val="none"/>
              </w:rPr>
              <w:t xml:space="preserve">苏银理财恒源灵动最短持有14天2号F</w:t>
            </w:r>
          </w:p>
        </w:tc>
        <w:tc>
          <w:tcPr>
            <w:tcW w:w="1470" w:type="dxa"/>
          </w:tcPr>
          <w:p>
            <w:pPr>
              <w:pageBreakBefore w:val="0"/>
              <w:jc w:val="center"/>
              <w:textAlignment w:val="auto"/>
            </w:pPr>
            <w:r>
              <w:rPr>
                <w:rFonts w:ascii="楷体" w:eastAsia="楷体" w:hAnsi="楷体" w:cs="楷体"/>
                <w:b w:val="0"/>
                <w:i w:val="0"/>
                <w:strike w:val="0"/>
                <w:color w:val="auto"/>
                <w:position w:val="-1"/>
                <w:sz w:val="24"/>
                <w:u w:val="none"/>
              </w:rPr>
              <w:t xml:space="preserve">1.015289</w:t>
            </w:r>
          </w:p>
        </w:tc>
        <w:tc>
          <w:tcPr>
            <w:tcW w:w="1665" w:type="dxa"/>
          </w:tcPr>
          <w:p>
            <w:pPr>
              <w:pageBreakBefore w:val="0"/>
              <w:jc w:val="center"/>
              <w:textAlignment w:val="auto"/>
            </w:pPr>
            <w:r>
              <w:rPr>
                <w:rFonts w:ascii="楷体" w:eastAsia="楷体" w:hAnsi="楷体" w:cs="楷体"/>
                <w:b w:val="0"/>
                <w:i w:val="0"/>
                <w:strike w:val="0"/>
                <w:color w:val="auto"/>
                <w:position w:val="-1"/>
                <w:sz w:val="24"/>
                <w:u w:val="none"/>
              </w:rPr>
              <w:t xml:space="preserve">1.015289</w:t>
            </w:r>
          </w:p>
        </w:tc>
        <w:tc>
          <w:tcPr>
            <w:tcW w:w="1876" w:type="dxa"/>
          </w:tcPr>
          <w:p>
            <w:pPr>
              <w:pageBreakBefore w:val="0"/>
              <w:jc w:val="center"/>
              <w:textAlignment w:val="auto"/>
            </w:pPr>
            <w:r>
              <w:rPr>
                <w:rFonts w:ascii="楷体" w:eastAsia="楷体" w:hAnsi="楷体" w:cs="楷体"/>
                <w:b w:val="0"/>
                <w:i w:val="0"/>
                <w:strike w:val="0"/>
                <w:color w:val="auto"/>
                <w:position w:val="-1"/>
                <w:sz w:val="24"/>
                <w:u w:val="none"/>
              </w:rPr>
              <w:t xml:space="preserve">中债-新综合财富(1年以下)指数*35%+中国人民银行公布的7天通知存款利率*65%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4"/>
                <w:u w:val="none"/>
              </w:rPr>
              <w:t xml:space="preserve">2025-06-30</w:t>
            </w:r>
          </w:p>
        </w:tc>
        <w:tc>
          <w:tcPr>
            <w:tcW w:w="2100" w:type="dxa"/>
          </w:tcPr>
          <w:p>
            <w:pPr>
              <w:pageBreakBefore w:val="0"/>
              <w:jc w:val="center"/>
              <w:textAlignment w:val="auto"/>
            </w:pPr>
            <w:r>
              <w:rPr>
                <w:rFonts w:ascii="楷体" w:eastAsia="楷体" w:hAnsi="楷体" w:cs="楷体"/>
                <w:b w:val="0"/>
                <w:i w:val="0"/>
                <w:strike w:val="0"/>
                <w:color w:val="auto"/>
                <w:position w:val="-1"/>
                <w:sz w:val="24"/>
                <w:u w:val="none"/>
              </w:rPr>
              <w:t xml:space="preserve">苏银理财恒源灵动最短持有14天2号G</w:t>
            </w:r>
          </w:p>
        </w:tc>
        <w:tc>
          <w:tcPr>
            <w:tcW w:w="1470" w:type="dxa"/>
          </w:tcPr>
          <w:p>
            <w:pPr>
              <w:pageBreakBefore w:val="0"/>
              <w:jc w:val="center"/>
              <w:textAlignment w:val="auto"/>
            </w:pPr>
            <w:r>
              <w:rPr>
                <w:rFonts w:ascii="楷体" w:eastAsia="楷体" w:hAnsi="楷体" w:cs="楷体"/>
                <w:b w:val="0"/>
                <w:i w:val="0"/>
                <w:strike w:val="0"/>
                <w:color w:val="auto"/>
                <w:position w:val="-1"/>
                <w:sz w:val="24"/>
                <w:u w:val="none"/>
              </w:rPr>
              <w:t xml:space="preserve">1.015791</w:t>
            </w:r>
          </w:p>
        </w:tc>
        <w:tc>
          <w:tcPr>
            <w:tcW w:w="1665" w:type="dxa"/>
          </w:tcPr>
          <w:p>
            <w:pPr>
              <w:pageBreakBefore w:val="0"/>
              <w:jc w:val="center"/>
              <w:textAlignment w:val="auto"/>
            </w:pPr>
            <w:r>
              <w:rPr>
                <w:rFonts w:ascii="楷体" w:eastAsia="楷体" w:hAnsi="楷体" w:cs="楷体"/>
                <w:b w:val="0"/>
                <w:i w:val="0"/>
                <w:strike w:val="0"/>
                <w:color w:val="auto"/>
                <w:position w:val="-1"/>
                <w:sz w:val="24"/>
                <w:u w:val="none"/>
              </w:rPr>
              <w:t xml:space="preserve">1.015791</w:t>
            </w:r>
          </w:p>
        </w:tc>
        <w:tc>
          <w:tcPr>
            <w:tcW w:w="1876" w:type="dxa"/>
          </w:tcPr>
          <w:p>
            <w:pPr>
              <w:pageBreakBefore w:val="0"/>
              <w:jc w:val="center"/>
              <w:textAlignment w:val="auto"/>
            </w:pPr>
            <w:r>
              <w:rPr>
                <w:rFonts w:ascii="楷体" w:eastAsia="楷体" w:hAnsi="楷体" w:cs="楷体"/>
                <w:b w:val="0"/>
                <w:i w:val="0"/>
                <w:strike w:val="0"/>
                <w:color w:val="auto"/>
                <w:position w:val="-1"/>
                <w:sz w:val="24"/>
                <w:u w:val="none"/>
              </w:rPr>
              <w:t xml:space="preserve">中债-新综合财富(1年以下)指数*35%+中国人民银行公布的7天通知存款利率*65%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413"/>
        <w:gridCol w:w="2610"/>
        <w:gridCol w:w="2550"/>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序号</w:t>
            </w:r>
          </w:p>
        </w:tc>
        <w:tc>
          <w:tcPr>
            <w:tcW w:w="2413"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资产类别</w:t>
            </w:r>
          </w:p>
        </w:tc>
        <w:tc>
          <w:tcPr>
            <w:tcW w:w="2610" w:type="dxa"/>
            <w:vAlign w:val="center"/>
          </w:tcPr>
          <w:p>
            <w:pPr>
              <w:spacing w:line="320" w:lineRule="exact"/>
              <w:rPr>
                <w:rFonts w:ascii="楷体" w:eastAsia="楷体" w:hAnsi="楷体" w:cs="楷体" w:hint="eastAsia"/>
                <w:sz w:val="21"/>
                <w:szCs w:val="21"/>
              </w:rPr>
            </w:pPr>
            <w:r>
              <w:rPr>
                <w:rFonts w:ascii="楷体" w:eastAsia="楷体" w:hAnsi="楷体" w:cs="楷体" w:hint="eastAsia"/>
                <w:sz w:val="21"/>
                <w:szCs w:val="21"/>
              </w:rPr>
              <w:t xml:space="preserve">直接投资占总资产的比例</w:t>
            </w:r>
          </w:p>
        </w:tc>
        <w:tc>
          <w:tcPr>
            <w:tcW w:w="2550"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w:t>
            </w:r>
          </w:p>
        </w:tc>
        <w:tc>
          <w:tcPr>
            <w:tcW w:w="2413"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固定收益类</w:t>
            </w:r>
          </w:p>
        </w:tc>
        <w:tc>
          <w:tcPr>
            <w:tcW w:w="261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7.31%</w:t>
            </w:r>
          </w:p>
        </w:tc>
        <w:tc>
          <w:tcPr>
            <w:tcW w:w="255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92.69%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2</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权益类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3</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商品及金融衍生品类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4</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混合类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140" w:type="dxa"/>
            <w:gridSpan w:val="2"/>
            <w:shd w:val="clear" w:color="auto" w:fill="auto"/>
            <w:vAlign w:val="center"/>
          </w:tcPr>
          <w:p>
            <w:pPr>
              <w:tabs>
                <w:tab w:val="center" w:pos="1522"/>
                <w:tab w:val="right" w:pos="2924"/>
              </w:tabs>
              <w:jc w:val="left"/>
              <w:rPr>
                <w:rFonts w:ascii="楷体" w:eastAsia="楷体" w:hAnsi="楷体" w:cs="楷体" w:hint="eastAsia"/>
                <w:sz w:val="24"/>
                <w:szCs w:val="24"/>
                <w:lang w:eastAsia="zh-CN"/>
              </w:rPr>
            </w:pPr>
            <w:r>
              <w:rPr>
                <w:rFonts w:ascii="楷体" w:eastAsia="楷体" w:hAnsi="楷体" w:cs="楷体" w:hint="eastAsia"/>
                <w:sz w:val="24"/>
                <w:szCs w:val="24"/>
                <w:lang w:eastAsia="zh-CN"/>
              </w:rPr>
              <w:tab/>
            </w:r>
            <w:r>
              <w:rPr>
                <w:rFonts w:ascii="楷体" w:eastAsia="楷体" w:hAnsi="楷体" w:cs="楷体" w:hint="eastAsia"/>
                <w:sz w:val="24"/>
                <w:szCs w:val="24"/>
              </w:rPr>
              <w:t xml:space="preserve">合计</w:t>
            </w:r>
            <w:r>
              <w:rPr>
                <w:rFonts w:ascii="楷体" w:eastAsia="楷体" w:hAnsi="楷体" w:cs="楷体" w:hint="eastAsia"/>
                <w:sz w:val="24"/>
                <w:szCs w:val="24"/>
                <w:lang w:eastAsia="zh-CN"/>
              </w:rPr>
              <w:tab/>
            </w:r>
          </w:p>
        </w:tc>
        <w:tc>
          <w:tcPr>
            <w:tcW w:w="2610" w:type="dxa"/>
            <w:shd w:val="clear" w:color="auto" w:fill="auto"/>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7.31%</w:t>
            </w:r>
          </w:p>
        </w:tc>
        <w:tc>
          <w:tcPr>
            <w:tcW w:w="2550" w:type="dxa"/>
            <w:shd w:val="clear" w:color="auto" w:fill="FFFFFF"/>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92.69%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rPr>
            </w:pPr>
            <w:r>
              <w:rPr>
                <w:rFonts w:ascii="楷体" w:eastAsia="楷体" w:hAnsi="楷体" w:cs="楷体" w:hint="eastAsia"/>
                <w:sz w:val="22"/>
              </w:rPr>
              <w:t xml:space="preserve">1</w:t>
            </w:r>
          </w:p>
        </w:tc>
        <w:tc>
          <w:tcPr>
            <w:tcW w:w="2434" w:type="dxa"/>
          </w:tcPr>
          <w:p>
            <w:pPr>
              <w:jc w:val="center"/>
              <w:rPr>
                <w:rFonts w:ascii="楷体" w:eastAsia="楷体" w:hAnsi="楷体" w:cs="楷体" w:hint="eastAsia"/>
                <w:sz w:val="22"/>
              </w:rPr>
            </w:pPr>
            <w:r>
              <w:rPr>
                <w:rFonts w:ascii="楷体" w:eastAsia="楷体" w:hAnsi="楷体" w:cs="楷体" w:hint="eastAsia"/>
                <w:sz w:val="22"/>
              </w:rPr>
              <w:t xml:space="preserve">现金及银行存款</w:t>
            </w:r>
          </w:p>
        </w:tc>
        <w:tc>
          <w:tcPr>
            <w:tcW w:w="1275" w:type="dxa"/>
          </w:tcPr>
          <w:p>
            <w:pPr>
              <w:jc w:val="center"/>
              <w:rPr>
                <w:rFonts w:ascii="楷体" w:eastAsia="楷体" w:hAnsi="楷体" w:cs="楷体" w:hint="eastAsia"/>
                <w:sz w:val="22"/>
              </w:rPr>
            </w:pPr>
            <w:r>
              <w:rPr>
                <w:rFonts w:ascii="楷体" w:eastAsia="楷体" w:hAnsi="楷体" w:cs="楷体" w:hint="eastAsia"/>
                <w:sz w:val="22"/>
              </w:rPr>
              <w:t xml:space="preserve">现金及银行存款</w:t>
            </w:r>
          </w:p>
        </w:tc>
        <w:tc>
          <w:tcPr>
            <w:tcW w:w="2235" w:type="dxa"/>
          </w:tcPr>
          <w:p>
            <w:pPr>
              <w:jc w:val="center"/>
              <w:rPr>
                <w:rFonts w:ascii="楷体" w:eastAsia="楷体" w:hAnsi="楷体" w:cs="楷体" w:hint="eastAsia"/>
                <w:sz w:val="22"/>
              </w:rPr>
            </w:pPr>
            <w:r>
              <w:rPr>
                <w:rFonts w:ascii="楷体" w:eastAsia="楷体" w:hAnsi="楷体" w:cs="楷体" w:hint="eastAsia"/>
                <w:sz w:val="22"/>
              </w:rPr>
              <w:t xml:space="preserve">396,193,931.41</w:t>
            </w:r>
          </w:p>
        </w:tc>
        <w:tc>
          <w:tcPr>
            <w:tcW w:w="1800" w:type="dxa"/>
          </w:tcPr>
          <w:p>
            <w:pPr>
              <w:jc w:val="center"/>
              <w:rPr>
                <w:rFonts w:ascii="楷体" w:eastAsia="楷体" w:hAnsi="楷体" w:cs="楷体" w:hint="eastAsia"/>
                <w:sz w:val="22"/>
              </w:rPr>
            </w:pPr>
            <w:r>
              <w:rPr>
                <w:rFonts w:ascii="楷体" w:eastAsia="楷体" w:hAnsi="楷体" w:cs="楷体" w:hint="eastAsia"/>
                <w:sz w:val="22"/>
              </w:rPr>
              <w:t xml:space="preserve">10.85%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中国银行股份有限公司</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225,554,228.83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中国建设银行股份有限公司</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136,280,082.46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24清浦03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77,554,245.60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24交旅02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58,587,122.51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24禹通01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58,354,379.95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24广东86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57,599,460.77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24大丰03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54,628,280.07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工银泰享三年理财债券</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52,271,263.50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24海奕01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49,262,191.82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rPr>
          <w:rFonts w:ascii="楷体" w:eastAsia="楷体" w:hAnsi="楷体" w:cs="楷体" w:hint="eastAsia"/>
          <w:b w:val="0"/>
          <w:sz w:val="21"/>
        </w:rPr>
      </w:pPr>
      <w:r>
        <w:rPr>
          <w:rFonts w:ascii="楷体" w:eastAsia="楷体" w:hAnsi="楷体" w:cs="楷体" w:hint="eastAsia"/>
          <w:b w:val="0"/>
          <w:sz w:val="21"/>
        </w:rPr>
        <w:t xml:space="preserve">（四）关联交易情况</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753,967,459.00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862,860,000.00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ZZGL202502101125</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ZZGL202504091187</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99,924,158.00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1,861,419,181.00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2,270,000,000.00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ZZGL202407261021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华泰慧丰1号集合资产管理计划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366,753,338.00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370,000,000.00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515,914.34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756,002.09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3,338,094,400.98</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2025-03-31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6,006,818,739.09</w:t>
            </w:r>
          </w:p>
        </w:tc>
      </w:tr>
    </w:tbl>
    <w:p>
      <w:pPr>
        <w:pStyle w:val="标题4"/>
        <w:rPr>
          <w:rFonts w:ascii="楷体" w:eastAsia="楷体" w:hAnsi="楷体" w:cs="楷体" w:hint="eastAsia"/>
        </w:rPr>
      </w:pPr>
    </w:p>
    <w:p>
      <w:pPr>
        <w:pStyle w:val="Heading3"/>
        <w:rPr>
          <w:rFonts w:ascii="楷体" w:eastAsia="楷体" w:hAnsi="楷体" w:cs="楷体" w:hint="eastAsia"/>
          <w:spacing w:val="0"/>
        </w:rPr>
      </w:pPr>
      <w:bookmarkStart w:id="1" w:name="_GoBack"/>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为主，采用低波稳健策略，以低波资产筑底，严格控制产品久期与回撤。上半年债券市场整体呈震荡下行趋势，由于产品配置的低波资产兼顾安全性与收益性，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基本面方面，上半年我国经济顶住压力实现较高增长，GDP同比增速录得5.3%，其中一、二季度GDP分别增长5.4%、5.2%。上半年我国社零额累计实现5%的增长，较一季度增加1.5个百分点，且高于去年全年水平，消费整体仍延续改善的趋势。新动能持续形成高贡献，外需相关行业生产边际修复，但与内需挂钩的上游工业生产仍然偏弱。债市方面，2025年上半年债市呈高波动、重交易的特征，债券收益率曲线平坦化。债市收益率先上后下。年初十年国债收益率围绕1.6%左右震荡。2月以来，央行流动性紧缩叠加股市快速上涨等因素，十年期国债收益率快速上升至1.88%左右。二季度在中美贸易摩擦和央行降准降息的背景下，国债收益率快速下行至1.65%左右，随后维持震荡态势直到季末。展望下半年，在股市强势上涨及风险偏好上升的背景下，债市预计延续震荡格局。但从近期国内基本面数据来看，三季度以来的内部变化弱于预期，需求修复转弱，下半年降准降息等政策仍有较大的可能性。后续若股市进入登顶回落期，风险偏好反转，债市或走向修复。</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本产品持仓以低波资产为主，产品收益较为稳健，通过组合久期管理、流动性指标监测等多项措施持续加强久期与流动性管理，有效控制产品的流动性风险。</w:t>
      </w:r>
      <w:bookmarkEnd w:id="1"/>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ind w:firstLine="420" w:firstLineChars="200"/>
        <w:jc w:val="left"/>
        <w:rPr>
          <w:rFonts w:ascii="楷体" w:eastAsia="楷体" w:hAnsi="楷体" w:cs="楷体" w:hint="eastAsia"/>
          <w:spacing w:val="9"/>
          <w:sz w:val="21"/>
          <w:szCs w:val="21"/>
        </w:rPr>
      </w:pPr>
      <w:r>
        <w:rPr>
          <w:rFonts w:ascii="楷体" w:eastAsia="楷体" w:hAnsi="楷体" w:hint="eastAsia"/>
          <w:bCs/>
          <w:kern w:val="0"/>
          <w:sz w:val="21"/>
          <w:szCs w:val="21"/>
        </w:rPr>
        <w:t xml:space="preserve">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74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75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75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75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jsyh</cp:lastModifiedBy>
  <dcterms:modified xsi:type="dcterms:W3CDTF">2025-08-22T09:29:50Z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4</TotalTime>
  <ScaleCrop>false</ScaleCrop>
  <LinksUpToDate>false</LinksUpToDate>
  <CharactersWithSpaces>2803</CharactersWithSpaces>
  <Application>WPS Office_11.8.2.10321_F1E327BC-269C-435d-A152-05C5408002CA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4</TotalTime>
  <Pages>4</Pages>
  <Words>419</Words>
  <Characters>2389</Characters>
  <Application>WPS Office_11.8.2.10321_F1E327BC-269C-435d-A152-05C5408002CA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jsyh</cp:lastModifiedBy>
  <cp:revision>22</cp:revision>
  <dcterms:created xsi:type="dcterms:W3CDTF">2021-11-18T10:04:00Z</dcterms:created>
  <dcterms:modified xsi:type="dcterms:W3CDTF">2025-08-22T10:26:33Z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2052-11.8.2.10321</vt:lpstr>
  </property>
  <property fmtid="{D5CDD505-2E9C-101B-9397-08002B2CF9AE}" pid="3" name="ICV">
    <vt:lpstr>31802637FF8E4298AD1DCE61A946E12D</vt:lpstr>
  </property>
</Properties>
</file>