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苏银理财恒源融达1号</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苏银理财恒源融达1号</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2018年09月04日</w:t>
      </w:r>
      <w:r>
        <w:rPr>
          <w:rFonts w:hint="eastAsia" w:ascii="楷体" w:hAnsi="楷体" w:eastAsia="楷体" w:cs="楷体"/>
        </w:rPr>
        <w:t>成立，于</w:t>
      </w:r>
      <w:r>
        <w:rPr>
          <w:rFonts w:hint="eastAsia" w:ascii="楷体" w:hAnsi="楷体" w:eastAsia="楷体" w:cs="楷体"/>
          <w:spacing w:val="-7"/>
        </w:rPr>
        <w:t>2018年09月04日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苏银理财恒源融达1号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Z7003123000062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62,598,787,162.96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84,066,680,126.41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31000188000310432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89,783,279,438.17</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106.80%</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苏银理财恒源融达1号6月JS鑫福款</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1.344761</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1.344761</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苏银理财恒源融达1号6月（碳账户专享）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苏银理财恒源融达1号6月（芙蓉锦程·优选）</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1.341757</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1.341757</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苏银理财恒源融达1号6月K</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1.344916</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1.344916</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苏银理财恒源融达1号6月J</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苏银理财恒源融达1号6月（芙蓉锦程·优选-尊享款）</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1.342944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1.342944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苏银理财恒源融达1号6月（代发专享）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苏银理财恒源融达1号6月E50</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苏银理财恒源融达1号6月F</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苏银理财恒源融达1号6月Z</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1.342251</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1.342251</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苏银理财恒源融达1号6月Q</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1.341562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1.341562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苏银理财恒源融达1号6月S</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苏银理财恒源融达1号6月G</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苏银理财恒源融达1号6月H</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1.34299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2.75%</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65.35%</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14.77%</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0.04%</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0.16%</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80.32%</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19.68%</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2,470,804,822.13</w:t>
            </w:r>
          </w:p>
        </w:tc>
        <w:tc>
          <w:tcPr>
            <w:tcW w:w="1800" w:type="dxa"/>
          </w:tcPr>
          <w:p>
            <w:pPr>
              <w:jc w:val="center"/>
              <w:rPr>
                <w:rFonts w:hint="eastAsia" w:ascii="楷体" w:hAnsi="楷体" w:eastAsia="楷体" w:cs="楷体"/>
                <w:sz w:val="22"/>
              </w:rPr>
            </w:pPr>
            <w:r>
              <w:rPr>
                <w:rFonts w:hint="eastAsia" w:ascii="楷体" w:hAnsi="楷体" w:eastAsia="楷体" w:cs="楷体"/>
                <w:sz w:val="22"/>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招银优1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2,344,640,069.80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农行南京东门街支行20231215/15亿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1,388,322,409.58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杭银优1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1,160,786,780.16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建行优1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998,290,854.26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工商银行宜兴支行20（20230728）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948,022,972.23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工商银行海州支行20（20230728）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948,022,972.23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农行沭阳支行20231215/10亿</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925,548,271.97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建行南京六合支行20231215/10亿-02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919,109,288.91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农业银行如皋市支行16（20230728）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757,541,543.78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0.84%</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镇江产业投资控股集团有限公司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102580522.IB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25镇江产投MTN001</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700,000.00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69,356,936.85</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镇江产业投资控股集团有限公司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102581387.IB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25镇江产投MTN003</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1,000,000.00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100,000,000.00</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042580117.IB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25南京滨江CP001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102580199.IB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25苏海投资MTN001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102580374.IB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25兴化国投MTN002</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102580616.IB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25盐城城镇MTN002</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600,000.00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60,000,000.00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102581207.IB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25方洋MTN001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102581210.IB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25安市淮阴MTN001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102581387.IB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25镇江产投MTN003</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102582450.IB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25毅达资本MTN001(科创债)</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150,000.00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15,000,000.00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012580132.IB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25大唐发电SCP001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2,000,000.00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012580282.IB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25吴中经发SCP003</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012580344.IB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25高淳建设SCP002</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012580528.IB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25高淳经开SCP003</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800,000.00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80,000,000.00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032501226.IB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25宿城国资PPN008</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165,000.00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16,500,000.00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042580042.IB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25宿迁交通CP001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042580090.IB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25江宁科学CP002</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70,000,000.00</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ZZGL202504091186</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江苏信托安源2号集合资金信托计划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795,434,999.00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800,000,000.00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ZZGL202504091187</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554,069,876.00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555,000,000.00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ZZGL202504091189</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江苏信托安源5号集合资金信托计划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129,217,844.00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130,000,000.00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ZZGL202504091190</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江苏信托安源6号集合资金信托计划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254,326,130.00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255,000,000.00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华泰证券(上海)资产管理有限公司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ZZGL202506091241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华泰银泰精选17号集合资产管理计划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283,000,073.00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179,637,207.12</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266,059,364.52</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37,108,154.92</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8,306,925.78</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苏银理财有限责任公司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67,040,776.51</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300,000,300.00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692,422,272.66</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苏银理财恒源融达1号6月E50</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678,027,833.51</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62,598,787,162.96</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59,705,453,380.49</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w:t>
      </w:r>
      <w:r>
        <w:rPr>
          <w:rFonts w:hint="eastAsia" w:ascii="楷体" w:hAnsi="楷体" w:cs="楷体"/>
          <w:lang w:eastAsia="zh-CN"/>
        </w:rPr>
        <w:t>、</w:t>
      </w:r>
      <w:r>
        <w:rPr>
          <w:rFonts w:hint="eastAsia" w:ascii="楷体" w:hAnsi="楷体" w:eastAsia="楷体" w:cs="楷体"/>
        </w:rPr>
        <w:t>投资运作情况</w:t>
      </w:r>
    </w:p>
    <w:p>
      <w:pPr>
        <w:pStyle w:val="2"/>
        <w:rPr>
          <w:rFonts w:ascii="楷体" w:hAnsi="楷体" w:cs="Times New Roman"/>
          <w:b w:val="0"/>
          <w:sz w:val="21"/>
        </w:rPr>
      </w:pPr>
      <w:r>
        <w:rPr>
          <w:rFonts w:hint="eastAsia" w:ascii="楷体" w:hAnsi="楷体" w:cs="Times New Roman"/>
          <w:b w:val="0"/>
          <w:sz w:val="21"/>
          <w:lang w:val="en-US" w:eastAsia="zh-CN"/>
        </w:rPr>
        <w:t>1、</w:t>
      </w:r>
      <w:r>
        <w:rPr>
          <w:rFonts w:ascii="楷体" w:hAnsi="楷体" w:cs="Times New Roman"/>
          <w:b w:val="0"/>
          <w:sz w:val="21"/>
        </w:rPr>
        <w:t>运作期回顾</w:t>
      </w:r>
    </w:p>
    <w:p>
      <w:pPr>
        <w:pStyle w:val="2"/>
        <w:keepNext w:val="0"/>
        <w:keepLines w:val="0"/>
        <w:pageBreakBefore w:val="0"/>
        <w:widowControl w:val="0"/>
        <w:kinsoku/>
        <w:wordWrap/>
        <w:overflowPunct/>
        <w:topLinePunct w:val="0"/>
        <w:autoSpaceDE w:val="0"/>
        <w:autoSpaceDN w:val="0"/>
        <w:bidi w:val="0"/>
        <w:adjustRightInd w:val="0"/>
        <w:snapToGrid/>
        <w:ind w:left="119" w:firstLine="420" w:firstLineChars="200"/>
        <w:jc w:val="both"/>
        <w:textAlignment w:val="auto"/>
        <w:rPr>
          <w:rFonts w:hint="default" w:ascii="Times New Roman" w:hAnsi="Times New Roman" w:cs="Times New Roman"/>
          <w:b w:val="0"/>
          <w:sz w:val="21"/>
        </w:rPr>
      </w:pPr>
      <w:r>
        <w:rPr>
          <w:rFonts w:hint="eastAsia" w:ascii="楷体" w:hAnsi="楷体" w:cs="Times New Roman"/>
          <w:b w:val="0"/>
          <w:sz w:val="21"/>
          <w:lang w:val="en-US" w:eastAsia="zh-CN"/>
        </w:rPr>
        <w:t>2025年上半年在货币政策节奏变化、流动性松紧转换以及海外事件驱动等多因素作用下，债市告别单边牛市，进入高波动震荡市。（1）1月初-3月底：稳汇率与防风险诉求上升，市场主线为资金面收紧与风险偏好抬升。年初稳汇率与防风险诉求下资金面持续紧张，长债与资金脱敏、表现具有韧性。春节后非银存款流失与信贷“开门红”影响下，银行负债端压力仍大，存单利率至2.0%上方；央行持续净回笼，资金面仍维持紧平衡。二手房销量走强、Deepseek科技出现突破、民营企业座谈会召开等事件使得宏观叙事的积极转变，风险偏好显著提升，叠加资金紧张情绪由短及长传递，长端利率快速上行。3月中下旬，随着赎回担忧证伪、资金面边际稳定，债市震荡修复。（2）4月初-5月底：关税预期反复、货币政策落地，收益率快速下行后震荡回调。4月初受特朗普对等关税政策影响，宽货币预期再起，债牛快速重启，后续海外关税态度反复，超长期特别国债首发叠加政治局会议落地，债市维持震荡、博弈加剧，月末在换券行情和PMI数据带动下，债市再迎上涨。5月上旬货币政策落地带动资金价格下台阶，随后债市围绕关税谈判情况、基本面数据小幅震荡，下旬存款利率调降带来存款搬家预期、银行卖老券兑现利润预期等机构行为带动债市整体回调。（3）6月：利好因素累积增多，收益率再度下行但破前低仍需等待货币政策的新增利多。进入6月，大行持续买短债，央行买断式逆回购有力呵护，叠加基本面数据表现偏弱、地缘政治冲突加剧，债市利好因素累积增多，收益率基本处于下行通道，但止盈情绪升温制约债市进一步上涨空间，市场博弈利差挖掘行情。</w:t>
      </w:r>
    </w:p>
    <w:p>
      <w:pPr>
        <w:pStyle w:val="2"/>
        <w:keepNext w:val="0"/>
        <w:keepLines w:val="0"/>
        <w:pageBreakBefore w:val="0"/>
        <w:widowControl w:val="0"/>
        <w:kinsoku/>
        <w:wordWrap/>
        <w:overflowPunct/>
        <w:topLinePunct w:val="0"/>
        <w:autoSpaceDE w:val="0"/>
        <w:autoSpaceDN w:val="0"/>
        <w:bidi w:val="0"/>
        <w:adjustRightInd w:val="0"/>
        <w:snapToGrid/>
        <w:ind w:left="119" w:firstLine="420" w:firstLineChars="200"/>
        <w:jc w:val="both"/>
        <w:textAlignment w:val="auto"/>
        <w:rPr>
          <w:rFonts w:hint="eastAsia" w:ascii="楷体" w:hAnsi="楷体" w:cs="Times New Roman"/>
          <w:b w:val="0"/>
          <w:sz w:val="21"/>
        </w:rPr>
      </w:pPr>
      <w:r>
        <w:rPr>
          <w:rFonts w:hint="eastAsia" w:ascii="楷体" w:hAnsi="楷体" w:cs="Times New Roman"/>
          <w:b w:val="0"/>
          <w:sz w:val="21"/>
          <w:lang w:val="en-US" w:eastAsia="zh-CN"/>
        </w:rPr>
        <w:t>本产品</w:t>
      </w:r>
      <w:r>
        <w:rPr>
          <w:rFonts w:hint="eastAsia" w:ascii="楷体" w:hAnsi="楷体" w:cs="Times New Roman"/>
          <w:b w:val="0"/>
          <w:sz w:val="21"/>
        </w:rPr>
        <w:t>通过对国内外宏观经济态势、利率走势、收益率曲线变化趋势和信用风险变化等因素进行综合分析，</w:t>
      </w:r>
      <w:r>
        <w:rPr>
          <w:rFonts w:hint="eastAsia" w:ascii="楷体" w:hAnsi="楷体" w:cs="Times New Roman"/>
          <w:b w:val="0"/>
          <w:sz w:val="21"/>
          <w:lang w:val="en-US" w:eastAsia="zh-CN"/>
        </w:rPr>
        <w:t>上半年</w:t>
      </w:r>
      <w:r>
        <w:rPr>
          <w:rFonts w:hint="eastAsia" w:ascii="楷体" w:hAnsi="楷体" w:cs="Times New Roman"/>
          <w:b w:val="0"/>
          <w:sz w:val="21"/>
        </w:rPr>
        <w:t>重点增加利率债交易，力求提高组合收益。</w:t>
      </w:r>
    </w:p>
    <w:p>
      <w:pPr>
        <w:rPr>
          <w:rFonts w:hint="eastAsia"/>
        </w:rPr>
      </w:pPr>
    </w:p>
    <w:p>
      <w:pPr>
        <w:pStyle w:val="2"/>
        <w:rPr>
          <w:rFonts w:ascii="楷体" w:hAnsi="楷体" w:cs="Times New Roman"/>
          <w:b w:val="0"/>
          <w:sz w:val="21"/>
        </w:rPr>
      </w:pPr>
      <w:r>
        <w:rPr>
          <w:rFonts w:hint="eastAsia" w:ascii="楷体" w:hAnsi="楷体" w:cs="Times New Roman"/>
          <w:b w:val="0"/>
          <w:sz w:val="21"/>
          <w:lang w:val="en-US" w:eastAsia="zh-CN"/>
        </w:rPr>
        <w:t>2、</w:t>
      </w:r>
      <w:r>
        <w:rPr>
          <w:rFonts w:ascii="楷体" w:hAnsi="楷体" w:cs="Times New Roman"/>
          <w:b w:val="0"/>
          <w:sz w:val="21"/>
        </w:rPr>
        <w:t>后市展望及下阶段投资策略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Times New Roman"/>
          <w:b w:val="0"/>
          <w:bCs/>
          <w:kern w:val="0"/>
          <w:sz w:val="21"/>
          <w:szCs w:val="21"/>
          <w:lang w:val="en-US" w:eastAsia="zh-CN" w:bidi="ar-SA"/>
        </w:rPr>
      </w:pPr>
      <w:r>
        <w:rPr>
          <w:rFonts w:hint="eastAsia" w:ascii="楷体" w:hAnsi="楷体" w:eastAsia="楷体" w:cs="Times New Roman"/>
          <w:b w:val="0"/>
          <w:bCs/>
          <w:kern w:val="0"/>
          <w:sz w:val="21"/>
          <w:szCs w:val="21"/>
          <w:lang w:val="en-US" w:eastAsia="zh-CN" w:bidi="ar-SA"/>
        </w:rPr>
        <w:t>展望三季度，预计债市仍将延续胜率尚在、赔率不足的震荡行情。预计债券市场的主线在于负债端和政策导向。考虑到基本面中长期预期有所改善、机构久期整体偏长，长端利率的进一步大幅下行还需等待新的驱动要素。保持整体市场震荡观点，多看少动，静待赔率改善后的交易机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Times New Roman"/>
          <w:b w:val="0"/>
          <w:bCs/>
          <w:kern w:val="0"/>
          <w:sz w:val="21"/>
          <w:szCs w:val="21"/>
          <w:lang w:val="en-US" w:eastAsia="zh-CN" w:bidi="ar-SA"/>
        </w:rPr>
      </w:pPr>
      <w:r>
        <w:rPr>
          <w:rFonts w:hint="eastAsia" w:ascii="楷体" w:hAnsi="楷体" w:eastAsia="楷体" w:cs="Times New Roman"/>
          <w:b w:val="0"/>
          <w:bCs/>
          <w:kern w:val="0"/>
          <w:sz w:val="21"/>
          <w:szCs w:val="21"/>
          <w:lang w:val="en-US" w:eastAsia="zh-CN" w:bidi="ar-SA"/>
        </w:rPr>
        <w:t>本组合将根据市场情况择机参与交易机会，致力于为广大投资者创造长期稳健的投资回报。</w:t>
      </w:r>
    </w:p>
    <w:p>
      <w:pPr>
        <w:rPr>
          <w:rFonts w:hint="eastAsia"/>
        </w:rPr>
      </w:pPr>
    </w:p>
    <w:p>
      <w:pPr>
        <w:pStyle w:val="2"/>
        <w:rPr>
          <w:rFonts w:ascii="楷体" w:hAnsi="楷体" w:cs="Times New Roman"/>
          <w:b w:val="0"/>
          <w:sz w:val="21"/>
        </w:rPr>
      </w:pPr>
      <w:r>
        <w:rPr>
          <w:rFonts w:hint="eastAsia" w:ascii="楷体" w:hAnsi="楷体" w:cs="Times New Roman"/>
          <w:b w:val="0"/>
          <w:sz w:val="21"/>
          <w:lang w:val="en-US" w:eastAsia="zh-CN"/>
        </w:rPr>
        <w:t>3、</w:t>
      </w:r>
      <w:r>
        <w:rPr>
          <w:rFonts w:ascii="楷体" w:hAnsi="楷体" w:cs="Times New Roman"/>
          <w:b w:val="0"/>
          <w:sz w:val="21"/>
        </w:rPr>
        <w:t>流动性风险分析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Times New Roman"/>
          <w:b w:val="0"/>
          <w:bCs/>
          <w:kern w:val="0"/>
          <w:sz w:val="21"/>
          <w:szCs w:val="21"/>
          <w:lang w:val="en-US" w:eastAsia="zh-CN" w:bidi="ar-SA"/>
        </w:rPr>
      </w:pPr>
      <w:bookmarkStart w:id="1" w:name="_GoBack"/>
      <w:r>
        <w:rPr>
          <w:rFonts w:hint="eastAsia" w:ascii="楷体" w:hAnsi="楷体" w:eastAsia="楷体" w:cs="Times New Roman"/>
          <w:b w:val="0"/>
          <w:bCs/>
          <w:kern w:val="0"/>
          <w:sz w:val="21"/>
          <w:szCs w:val="21"/>
          <w:lang w:val="en-US" w:eastAsia="zh-CN" w:bidi="ar-SA"/>
        </w:rPr>
        <w:t>流动性风险方面，本产品持仓资产以标准化债权类资产为主，变现能力较强，同时注重调优持仓结构，确保流动性处于合理水平。</w:t>
      </w:r>
    </w:p>
    <w:bookmarkEnd w:id="1"/>
    <w:p>
      <w:pPr>
        <w:pStyle w:val="4"/>
        <w:spacing w:before="0" w:line="240" w:lineRule="auto"/>
        <w:ind w:left="0" w:right="0" w:firstLine="0" w:firstLineChars="0"/>
        <w:rPr>
          <w:rFonts w:hint="eastAsia" w:ascii="楷体" w:hAnsi="楷体" w:eastAsia="楷体" w:cs="楷体"/>
          <w:spacing w:val="9"/>
          <w:sz w:val="21"/>
        </w:rPr>
      </w:pP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rPr>
          <w:rFonts w:hint="eastAsia" w:ascii="楷体" w:hAnsi="楷体" w:eastAsia="楷体" w:cs="楷体"/>
          <w:spacing w:val="9"/>
          <w:sz w:val="21"/>
          <w:szCs w:val="21"/>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lvl>
  </w:abstractNum>
  <w:abstractNum w:abstractNumId="1">
    <w:nsid w:val="0053208E"/>
    <w:multiLevelType w:val="singleLevel"/>
    <w:tmpl w:val="0053208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18FC290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2025-08-01T01:50:06Z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ece163-bba4-409d-ae3f-a3d005bfbc20}">
  <ds:schemaRefs/>
</ds:datastoreItem>
</file>

<file path=customXml/itemProps3.xml><?xml version="1.0" encoding="utf-8"?>
<ds:datastoreItem xmlns:ds="http://schemas.openxmlformats.org/officeDocument/2006/customXml" ds:itemID="{22d9be6d-6578-49b0-b36b-77629c536890}">
  <ds:schemaRefs/>
</ds:datastoreItem>
</file>

<file path=customXml/itemProps4.xml><?xml version="1.0" encoding="utf-8"?>
<ds:datastoreItem xmlns:ds="http://schemas.openxmlformats.org/officeDocument/2006/customXml" ds:itemID="{8c555dbf-47a6-4b2f-bf0c-c2d0220a4b7e}">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2025-08-22T06:31:06Z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9B94584491F54D999EC7B70B73C75305</vt:lpwstr>
  </property>
</Properties>
</file>