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苏银理财恒源鑫安最短持有45天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苏银理财恒源鑫安最短持有45天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2024年09月04日</w:t>
      </w:r>
      <w:r>
        <w:rPr>
          <w:rFonts w:hint="eastAsia" w:ascii="楷体" w:hAnsi="楷体" w:eastAsia="楷体" w:cs="楷体"/>
        </w:rPr>
        <w:t>成立，于</w:t>
      </w:r>
      <w:r>
        <w:rPr>
          <w:rFonts w:hint="eastAsia" w:ascii="楷体" w:hAnsi="楷体" w:eastAsia="楷体" w:cs="楷体"/>
          <w:spacing w:val="-7"/>
        </w:rPr>
        <w:t>2024年09月04日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苏银理财恒源鑫安最短持有45天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1,533,196,800.42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1,570,827,599.23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31000188000599607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1,591,362,664.95</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101.31%</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苏银理财恒源鑫安最短持有45天B</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1.024531</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1.024531</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2.20%-2.90%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苏银理财恒源鑫安最短持有45天A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1.024544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1.024544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苏银理财恒源鑫安最短持有45天H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1.024474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1.024474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2.15%-2.85%</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33.04%</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33.04%</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66.96%</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303,546,933.01</w:t>
            </w:r>
          </w:p>
        </w:tc>
        <w:tc>
          <w:tcPr>
            <w:tcW w:w="1800" w:type="dxa"/>
          </w:tcPr>
          <w:p>
            <w:pPr>
              <w:jc w:val="center"/>
              <w:rPr>
                <w:rFonts w:hint="eastAsia" w:ascii="楷体" w:hAnsi="楷体" w:eastAsia="楷体" w:cs="楷体"/>
                <w:sz w:val="22"/>
              </w:rPr>
            </w:pPr>
            <w:r>
              <w:rPr>
                <w:rFonts w:hint="eastAsia" w:ascii="楷体" w:hAnsi="楷体" w:eastAsia="楷体" w:cs="楷体"/>
                <w:sz w:val="22"/>
              </w:rPr>
              <w:t>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农行顺德欧浦皇庭20230830/10亿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142,011,524.26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农业银行顺德陈村20230830/5亿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71,005,762.17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农业银行顺德桂洲20230830/5亿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71,005,762.17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48,014,223.12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32,009,482.21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建行优1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28,097,638.49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24,009,674.48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建信能源化工期货ETF</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22,558,823.52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20,999,498.60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1.32%</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ZZGL202109150141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88,870,679.00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101,700,000.00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1,032,161,032.16</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985,630.66</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230,736.69</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苏银理财恒源鑫安最短持有45天A</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18,516,705.51</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1,533,196,800.42</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2,151,446,671.68</w:t>
            </w:r>
          </w:p>
        </w:tc>
      </w:tr>
    </w:tbl>
    <w:p>
      <w:pPr>
        <w:pStyle w:val="14"/>
        <w:rPr>
          <w:rFonts w:hint="eastAsia" w:ascii="楷体" w:hAnsi="楷体" w:eastAsia="楷体" w:cs="楷体"/>
        </w:rPr>
      </w:pPr>
    </w:p>
    <w:p>
      <w:pPr>
        <w:pStyle w:val="2"/>
        <w:rPr>
          <w:rFonts w:hint="eastAsia" w:ascii="楷体" w:hAnsi="楷体" w:eastAsia="楷体" w:cs="楷体"/>
          <w:spacing w:val="0"/>
        </w:rPr>
      </w:pPr>
      <w:r>
        <w:rPr>
          <w:rFonts w:hint="eastAsia" w:ascii="楷体" w:hAnsi="楷体" w:eastAsia="楷体" w:cs="楷体"/>
          <w:spacing w:val="0"/>
        </w:rPr>
        <w:t>四</w:t>
      </w:r>
      <w:r>
        <w:rPr>
          <w:rFonts w:hint="eastAsia" w:ascii="楷体" w:hAnsi="楷体" w:cs="楷体"/>
          <w:spacing w:val="0"/>
          <w:lang w:eastAsia="zh-CN"/>
        </w:rPr>
        <w:t>、</w:t>
      </w:r>
      <w:r>
        <w:rPr>
          <w:rFonts w:hint="eastAsia" w:ascii="楷体" w:hAnsi="楷体" w:eastAsia="楷体" w:cs="楷体"/>
          <w:spacing w:val="0"/>
        </w:rPr>
        <w:t>投资运作情况</w:t>
      </w: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1、运作期回顾</w:t>
      </w:r>
    </w:p>
    <w:p>
      <w:pPr>
        <w:pStyle w:val="4"/>
        <w:spacing w:before="0" w:line="240" w:lineRule="auto"/>
        <w:ind w:left="0" w:right="0" w:firstLine="0" w:firstLineChars="0"/>
        <w:rPr>
          <w:rFonts w:hint="eastAsia" w:ascii="楷体" w:hAnsi="楷体" w:eastAsia="楷体" w:cs="楷体"/>
          <w:spacing w:val="0"/>
          <w:sz w:val="21"/>
          <w:szCs w:val="21"/>
        </w:rPr>
      </w:pPr>
      <w:r>
        <w:rPr>
          <w:rFonts w:hint="eastAsia" w:ascii="楷体" w:hAnsi="楷体" w:eastAsia="楷体" w:cs="楷体"/>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4"/>
        <w:spacing w:before="0" w:line="240" w:lineRule="auto"/>
        <w:ind w:left="0" w:right="0" w:firstLine="0" w:firstLineChars="0"/>
        <w:rPr>
          <w:rFonts w:hint="eastAsia" w:ascii="楷体" w:hAnsi="楷体" w:eastAsia="楷体" w:cs="楷体"/>
          <w:spacing w:val="0"/>
          <w:sz w:val="21"/>
          <w:szCs w:val="21"/>
        </w:rPr>
      </w:pP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2、后市展望及下阶段投资策略</w:t>
      </w:r>
    </w:p>
    <w:p>
      <w:pPr>
        <w:pStyle w:val="4"/>
        <w:spacing w:before="0" w:line="240" w:lineRule="auto"/>
        <w:ind w:left="0" w:right="0" w:firstLine="0" w:firstLineChars="0"/>
        <w:jc w:val="left"/>
        <w:rPr>
          <w:rFonts w:hint="eastAsia" w:ascii="楷体" w:hAnsi="楷体" w:eastAsia="楷体" w:cs="楷体"/>
          <w:spacing w:val="0"/>
          <w:sz w:val="21"/>
          <w:szCs w:val="21"/>
        </w:rPr>
      </w:pPr>
      <w:r>
        <w:rPr>
          <w:rFonts w:hint="eastAsia" w:ascii="楷体" w:hAnsi="楷体" w:eastAsia="楷体" w:cs="楷体"/>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hint="eastAsia" w:ascii="楷体" w:hAnsi="楷体" w:eastAsia="楷体" w:cs="楷体"/>
          <w:spacing w:val="0"/>
          <w:sz w:val="21"/>
          <w:szCs w:val="21"/>
        </w:rPr>
        <w:br w:type="textWrapping"/>
      </w:r>
      <w:r>
        <w:rPr>
          <w:rFonts w:hint="eastAsia" w:ascii="楷体" w:hAnsi="楷体" w:eastAsia="楷体" w:cs="楷体"/>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hint="eastAsia" w:ascii="楷体" w:hAnsi="楷体" w:eastAsia="楷体" w:cs="楷体"/>
          <w:bCs/>
          <w:spacing w:val="0"/>
          <w:kern w:val="0"/>
          <w:sz w:val="21"/>
          <w:szCs w:val="21"/>
        </w:rPr>
      </w:pP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3、流动性风险分析</w:t>
      </w:r>
    </w:p>
    <w:p>
      <w:pPr>
        <w:pStyle w:val="4"/>
        <w:spacing w:before="0" w:line="240" w:lineRule="auto"/>
        <w:ind w:left="0" w:right="0" w:firstLine="0" w:firstLineChars="0"/>
        <w:rPr>
          <w:rFonts w:hint="eastAsia" w:ascii="楷体" w:hAnsi="楷体" w:eastAsia="楷体" w:cs="楷体"/>
          <w:spacing w:val="0"/>
          <w:sz w:val="21"/>
          <w:szCs w:val="21"/>
        </w:rPr>
      </w:pPr>
      <w:r>
        <w:rPr>
          <w:rFonts w:hint="eastAsia" w:ascii="楷体" w:hAnsi="楷体" w:eastAsia="楷体" w:cs="楷体"/>
          <w:spacing w:val="0"/>
          <w:sz w:val="21"/>
          <w:szCs w:val="21"/>
        </w:rPr>
        <w:t xml:space="preserve">    本产品</w:t>
      </w:r>
      <w:bookmarkStart w:id="1" w:name="_GoBack"/>
      <w:bookmarkEnd w:id="1"/>
      <w:r>
        <w:rPr>
          <w:rFonts w:hint="eastAsia" w:ascii="楷体" w:hAnsi="楷体" w:eastAsia="楷体" w:cs="楷体"/>
          <w:spacing w:val="0"/>
          <w:sz w:val="21"/>
          <w:szCs w:val="21"/>
        </w:rPr>
        <w:t>投向债券资产信用资质较好，股票资产仓位较低，整体流动性风险可控。</w:t>
      </w: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jc w:val="left"/>
        <w:rPr>
          <w:rFonts w:hint="eastAsia" w:ascii="楷体" w:hAnsi="楷体" w:eastAsia="楷体" w:cs="楷体"/>
          <w:spacing w:val="9"/>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C6F65"/>
    <w:multiLevelType w:val="singleLevel"/>
    <w:tmpl w:val="9DFC6F65"/>
    <w:lvl w:ilvl="0" w:tentative="0">
      <w:start w:val="3"/>
      <w:numFmt w:val="decimal"/>
      <w:suff w:val="nothing"/>
      <w:lvlText w:val="%1）"/>
      <w:lvlJc w:val="left"/>
    </w:lvl>
  </w:abstractNum>
  <w:abstractNum w:abstractNumId="1">
    <w:nsid w:val="03C240C0"/>
    <w:multiLevelType w:val="singleLevel"/>
    <w:tmpl w:val="03C240C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2F634C1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bb8a82-a4ec-4467-b59f-52f925d78aa0}">
  <ds:schemaRefs/>
</ds:datastoreItem>
</file>

<file path=customXml/itemProps3.xml><?xml version="1.0" encoding="utf-8"?>
<ds:datastoreItem xmlns:ds="http://schemas.openxmlformats.org/officeDocument/2006/customXml" ds:itemID="{b47240d4-6d9b-4dde-ace8-380aeeca8a0c}">
  <ds:schemaRefs/>
</ds:datastoreItem>
</file>

<file path=customXml/itemProps4.xml><?xml version="1.0" encoding="utf-8"?>
<ds:datastoreItem xmlns:ds="http://schemas.openxmlformats.org/officeDocument/2006/customXml" ds:itemID="{abba137b-4a39-4484-ab06-e2406636edfd}">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2025-08-26T02:28:10Z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BCB17931DC664F5E9156757D9ACF4842</vt:lpwstr>
  </property>
</Properties>
</file>