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苏银理财恒源鑫泰固收增强最短持有270天</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苏银理财恒源鑫泰固收增强最短持有270天</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2023年09月15日</w:t>
      </w:r>
      <w:r>
        <w:rPr>
          <w:rFonts w:hint="eastAsia" w:ascii="楷体" w:hAnsi="楷体" w:eastAsia="楷体" w:cs="楷体"/>
        </w:rPr>
        <w:t>成立，于</w:t>
      </w:r>
      <w:r>
        <w:rPr>
          <w:rFonts w:hint="eastAsia" w:ascii="楷体" w:hAnsi="楷体" w:eastAsia="楷体" w:cs="楷体"/>
          <w:spacing w:val="-7"/>
        </w:rPr>
        <w:t>2023年09月15日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苏银理财恒源鑫泰固收增强最短持有270天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Z7003123000137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1,696,791,640.36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1,809,502,595.55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31000188000551629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1,809,753,309.29</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100.01%</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苏银理财恒源鑫泰（固收增强）最短持有270天A</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1.066425</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1.066425</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2.60%-5.50%</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7.60%</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0.29%</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7.89%</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92.11%</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387,775,549.05</w:t>
            </w:r>
          </w:p>
        </w:tc>
        <w:tc>
          <w:tcPr>
            <w:tcW w:w="1800" w:type="dxa"/>
          </w:tcPr>
          <w:p>
            <w:pPr>
              <w:jc w:val="center"/>
              <w:rPr>
                <w:rFonts w:hint="eastAsia" w:ascii="楷体" w:hAnsi="楷体" w:eastAsia="楷体" w:cs="楷体"/>
                <w:sz w:val="22"/>
              </w:rPr>
            </w:pPr>
            <w:r>
              <w:rPr>
                <w:rFonts w:hint="eastAsia" w:ascii="楷体" w:hAnsi="楷体" w:eastAsia="楷体" w:cs="楷体"/>
                <w:sz w:val="22"/>
              </w:rPr>
              <w:t>20.85%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易方达现金增利货币B</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43,380,505.75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银河钱包货币B</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43,271,119.17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42,950,736.35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26,339,346.05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汇添富收益快钱D</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22,218,803.17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交银天益宝货币E</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20,452,004.82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固收增强270天上海银行20250304</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20,136,850.00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16,857,280.59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24茂名Y1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11,751,070.01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0.63%</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NETA20201230000002</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江苏信托鼎泰1号集合资金信托计划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85,545,578.00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105,000,000.00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17,000,017.00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290,195.23</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132,975.23</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1,696,791,640.36</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784,078,668.59</w:t>
            </w:r>
          </w:p>
        </w:tc>
      </w:tr>
    </w:tbl>
    <w:p>
      <w:pPr>
        <w:pStyle w:val="14"/>
        <w:rPr>
          <w:rFonts w:hint="eastAsia" w:ascii="楷体" w:hAnsi="楷体" w:eastAsia="楷体" w:cs="楷体"/>
        </w:rPr>
      </w:pPr>
    </w:p>
    <w:p>
      <w:pPr>
        <w:pStyle w:val="2"/>
        <w:rPr>
          <w:rFonts w:hint="eastAsia" w:ascii="楷体" w:hAnsi="楷体" w:eastAsia="楷体" w:cs="楷体"/>
          <w:spacing w:val="0"/>
        </w:rPr>
      </w:pPr>
      <w:r>
        <w:rPr>
          <w:rFonts w:hint="eastAsia" w:ascii="楷体" w:hAnsi="楷体" w:eastAsia="楷体" w:cs="楷体"/>
          <w:spacing w:val="0"/>
        </w:rPr>
        <w:t>四</w:t>
      </w:r>
      <w:r>
        <w:rPr>
          <w:rFonts w:hint="eastAsia" w:ascii="楷体" w:hAnsi="楷体" w:cs="楷体"/>
          <w:spacing w:val="0"/>
          <w:lang w:eastAsia="zh-CN"/>
        </w:rPr>
        <w:t>、</w:t>
      </w:r>
      <w:r>
        <w:rPr>
          <w:rFonts w:hint="eastAsia" w:ascii="楷体" w:hAnsi="楷体" w:eastAsia="楷体" w:cs="楷体"/>
          <w:spacing w:val="0"/>
        </w:rPr>
        <w:t>投资运作情况</w:t>
      </w:r>
    </w:p>
    <w:p>
      <w:pPr>
        <w:pStyle w:val="2"/>
        <w:rPr>
          <w:rFonts w:hint="eastAsia" w:ascii="楷体" w:hAnsi="楷体" w:eastAsia="楷体" w:cs="楷体"/>
          <w:b w:val="0"/>
          <w:spacing w:val="0"/>
          <w:sz w:val="21"/>
          <w:szCs w:val="21"/>
        </w:rPr>
      </w:pPr>
      <w:r>
        <w:rPr>
          <w:rFonts w:hint="eastAsia" w:ascii="楷体" w:hAnsi="楷体" w:eastAsia="楷体" w:cs="楷体"/>
          <w:b w:val="0"/>
          <w:spacing w:val="0"/>
          <w:sz w:val="21"/>
          <w:szCs w:val="21"/>
        </w:rPr>
        <w:t>1、运作期回顾</w:t>
      </w:r>
    </w:p>
    <w:p>
      <w:pPr>
        <w:pStyle w:val="4"/>
        <w:spacing w:before="0" w:line="240" w:lineRule="auto"/>
        <w:ind w:left="0" w:right="0" w:firstLine="0" w:firstLineChars="0"/>
        <w:rPr>
          <w:rFonts w:hint="eastAsia" w:ascii="楷体" w:hAnsi="楷体" w:eastAsia="楷体" w:cs="楷体"/>
          <w:spacing w:val="0"/>
          <w:sz w:val="21"/>
          <w:szCs w:val="21"/>
        </w:rPr>
      </w:pPr>
      <w:r>
        <w:rPr>
          <w:rFonts w:hint="eastAsia" w:ascii="楷体" w:hAnsi="楷体" w:eastAsia="楷体" w:cs="楷体"/>
          <w:spacing w:val="0"/>
          <w:sz w:val="21"/>
          <w:szCs w:val="21"/>
        </w:rPr>
        <w:t xml:space="preserve">    回顾上半年，万得全A指数收涨5.83%，沪深300指数微涨0.03%，小票领涨的结构性行情显著。一季度受益于由Deepseek带来的科技成长行情，成长行情显著占优，使得近年来红利主导的市场极致风格的裂口有所弥合。二季度市场经历了过山车般的行情，先是贸易战升级，4月7日单日万得全A跌幅超过9%，5月贸易摩擦逐渐落地，市场在修复风险偏好后开始震荡。整个上半年来看，港股市场表现领跑全球主要股指。恒生指数上半年累计上涨20%，主要受益于新消费、科技、创新药等板块表现亮眼。在美元指数走弱背景下，香港资产吸引力有所上升。</w:t>
      </w:r>
    </w:p>
    <w:p>
      <w:pPr>
        <w:pStyle w:val="4"/>
        <w:spacing w:before="0" w:line="240" w:lineRule="auto"/>
        <w:ind w:left="0" w:right="0" w:firstLine="0" w:firstLineChars="0"/>
        <w:rPr>
          <w:rFonts w:hint="eastAsia" w:ascii="楷体" w:hAnsi="楷体" w:eastAsia="楷体" w:cs="楷体"/>
          <w:spacing w:val="0"/>
          <w:sz w:val="21"/>
          <w:szCs w:val="21"/>
        </w:rPr>
      </w:pPr>
    </w:p>
    <w:p>
      <w:pPr>
        <w:pStyle w:val="2"/>
        <w:rPr>
          <w:rFonts w:hint="eastAsia" w:ascii="楷体" w:hAnsi="楷体" w:eastAsia="楷体" w:cs="楷体"/>
          <w:b w:val="0"/>
          <w:spacing w:val="0"/>
          <w:sz w:val="21"/>
          <w:szCs w:val="21"/>
        </w:rPr>
      </w:pPr>
      <w:r>
        <w:rPr>
          <w:rFonts w:hint="eastAsia" w:ascii="楷体" w:hAnsi="楷体" w:eastAsia="楷体" w:cs="楷体"/>
          <w:b w:val="0"/>
          <w:spacing w:val="0"/>
          <w:sz w:val="21"/>
          <w:szCs w:val="21"/>
        </w:rPr>
        <w:t>2、后市展望及下阶段投资策略</w:t>
      </w:r>
    </w:p>
    <w:p>
      <w:pPr>
        <w:pStyle w:val="4"/>
        <w:spacing w:before="0" w:line="240" w:lineRule="auto"/>
        <w:ind w:left="0" w:right="0" w:firstLine="0" w:firstLineChars="0"/>
        <w:jc w:val="left"/>
        <w:rPr>
          <w:rFonts w:hint="eastAsia" w:ascii="楷体" w:hAnsi="楷体" w:eastAsia="楷体" w:cs="楷体"/>
          <w:spacing w:val="0"/>
          <w:sz w:val="21"/>
          <w:szCs w:val="21"/>
        </w:rPr>
      </w:pPr>
      <w:r>
        <w:rPr>
          <w:rFonts w:hint="eastAsia" w:ascii="楷体" w:hAnsi="楷体" w:eastAsia="楷体" w:cs="楷体"/>
          <w:spacing w:val="0"/>
          <w:sz w:val="21"/>
          <w:szCs w:val="21"/>
        </w:rPr>
        <w:t xml:space="preserve">    上半年的主题是避险加结构性，在地缘冲突升级和货币政策不确定性的背景下，市场对于安全边际和资产配置的关注度显著提升。今年来，一年期定期存款利率跌破1%，进入了低利率时代，固收+产品的必要性和重要性正在凸显。</w:t>
      </w:r>
      <w:r>
        <w:rPr>
          <w:rFonts w:hint="eastAsia" w:ascii="楷体" w:hAnsi="楷体" w:eastAsia="楷体" w:cs="楷体"/>
          <w:spacing w:val="0"/>
          <w:sz w:val="21"/>
          <w:szCs w:val="21"/>
        </w:rPr>
        <w:br w:type="textWrapping"/>
      </w:r>
      <w:r>
        <w:rPr>
          <w:rFonts w:hint="eastAsia" w:ascii="楷体" w:hAnsi="楷体" w:eastAsia="楷体" w:cs="楷体"/>
          <w:spacing w:val="0"/>
          <w:sz w:val="21"/>
          <w:szCs w:val="21"/>
        </w:rPr>
        <w:t xml:space="preserve">    因此对于权益市场的投资，我们认为市场结构性行情的特征仍会持续，期间市场的波动率会保持在中高水平。如果后续基本面得以验证、政策效力出现奏效后，行情会更加稳定的向上前行。因此，我们将通过构建具有个股挖掘能力和仓位控制能力的灵活交易型策略进行应对，在稳健的基础上把握市场机会。</w:t>
      </w:r>
    </w:p>
    <w:p>
      <w:pPr>
        <w:ind w:firstLine="0" w:firstLineChars="0"/>
        <w:rPr>
          <w:rFonts w:hint="eastAsia" w:ascii="楷体" w:hAnsi="楷体" w:eastAsia="楷体" w:cs="楷体"/>
          <w:bCs/>
          <w:spacing w:val="0"/>
          <w:kern w:val="0"/>
          <w:sz w:val="21"/>
          <w:szCs w:val="21"/>
        </w:rPr>
      </w:pPr>
    </w:p>
    <w:p>
      <w:pPr>
        <w:pStyle w:val="2"/>
        <w:rPr>
          <w:rFonts w:hint="eastAsia" w:ascii="楷体" w:hAnsi="楷体" w:eastAsia="楷体" w:cs="楷体"/>
          <w:b w:val="0"/>
          <w:spacing w:val="0"/>
          <w:sz w:val="21"/>
          <w:szCs w:val="21"/>
        </w:rPr>
      </w:pPr>
      <w:r>
        <w:rPr>
          <w:rFonts w:hint="eastAsia" w:ascii="楷体" w:hAnsi="楷体" w:eastAsia="楷体" w:cs="楷体"/>
          <w:b w:val="0"/>
          <w:spacing w:val="0"/>
          <w:sz w:val="21"/>
          <w:szCs w:val="21"/>
        </w:rPr>
        <w:t>3、流动性风险分析</w:t>
      </w:r>
    </w:p>
    <w:p>
      <w:pPr>
        <w:pStyle w:val="4"/>
        <w:spacing w:before="0" w:line="240" w:lineRule="auto"/>
        <w:ind w:left="0" w:right="0" w:firstLine="0" w:firstLineChars="0"/>
        <w:rPr>
          <w:rFonts w:hint="eastAsia" w:ascii="楷体" w:hAnsi="楷体" w:eastAsia="楷体" w:cs="楷体"/>
          <w:spacing w:val="0"/>
          <w:sz w:val="21"/>
          <w:szCs w:val="21"/>
        </w:rPr>
      </w:pPr>
      <w:r>
        <w:rPr>
          <w:rFonts w:hint="eastAsia" w:ascii="楷体" w:hAnsi="楷体" w:eastAsia="楷体" w:cs="楷体"/>
          <w:spacing w:val="0"/>
          <w:sz w:val="21"/>
          <w:szCs w:val="21"/>
        </w:rPr>
        <w:t xml:space="preserve">    本产品</w:t>
      </w:r>
      <w:bookmarkStart w:id="1" w:name="_GoBack"/>
      <w:bookmarkEnd w:id="1"/>
      <w:r>
        <w:rPr>
          <w:rFonts w:hint="eastAsia" w:ascii="楷体" w:hAnsi="楷体" w:eastAsia="楷体" w:cs="楷体"/>
          <w:spacing w:val="0"/>
          <w:sz w:val="21"/>
          <w:szCs w:val="21"/>
        </w:rPr>
        <w:t>投向债券资产信用资质较好，股票资产仓位较低，整体流动性风险可控。</w:t>
      </w:r>
    </w:p>
    <w:p>
      <w:pPr>
        <w:pStyle w:val="4"/>
        <w:spacing w:before="0" w:line="240" w:lineRule="auto"/>
        <w:ind w:left="0" w:right="0" w:firstLine="0" w:firstLineChars="0"/>
        <w:rPr>
          <w:rFonts w:hint="eastAsia" w:ascii="楷体" w:hAnsi="楷体" w:eastAsia="楷体" w:cs="楷体"/>
          <w:spacing w:val="9"/>
          <w:sz w:val="21"/>
        </w:rPr>
      </w:pPr>
    </w:p>
    <w:p>
      <w:pPr>
        <w:pStyle w:val="2"/>
        <w:rPr>
          <w:rFonts w:ascii="楷体" w:hAnsi="楷体"/>
          <w:sz w:val="24"/>
          <w:szCs w:val="24"/>
        </w:rPr>
      </w:pPr>
      <w:r>
        <w:rPr>
          <w:rFonts w:hint="eastAsia" w:ascii="楷体" w:hAnsi="楷体"/>
          <w:sz w:val="24"/>
          <w:szCs w:val="24"/>
        </w:rPr>
        <w:t>五</w:t>
      </w:r>
      <w:r>
        <w:rPr>
          <w:rFonts w:hint="eastAsia" w:ascii="楷体" w:hAnsi="楷体"/>
          <w:sz w:val="24"/>
          <w:szCs w:val="24"/>
          <w:lang w:eastAsia="zh-CN"/>
        </w:rPr>
        <w:t>、</w:t>
      </w:r>
      <w:r>
        <w:rPr>
          <w:rFonts w:hint="eastAsia" w:ascii="楷体" w:hAnsi="楷体"/>
          <w:sz w:val="24"/>
          <w:szCs w:val="24"/>
        </w:rPr>
        <w:t>托管人报告</w:t>
      </w:r>
    </w:p>
    <w:p>
      <w:pPr>
        <w:ind w:firstLine="420" w:firstLineChars="200"/>
        <w:jc w:val="left"/>
        <w:rPr>
          <w:rFonts w:hint="eastAsia" w:ascii="楷体" w:hAnsi="楷体" w:eastAsia="楷体" w:cs="楷体"/>
          <w:spacing w:val="9"/>
          <w:sz w:val="21"/>
          <w:szCs w:val="21"/>
        </w:rPr>
      </w:pPr>
      <w:r>
        <w:rPr>
          <w:rFonts w:hint="eastAsia" w:ascii="楷体" w:hAnsi="楷体" w:eastAsia="楷体"/>
          <w:bCs/>
          <w:kern w:val="0"/>
          <w:sz w:val="21"/>
          <w:szCs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0DB0B"/>
    <w:multiLevelType w:val="singleLevel"/>
    <w:tmpl w:val="10F0DB0B"/>
    <w:lvl w:ilvl="0" w:tentative="0">
      <w:start w:val="3"/>
      <w:numFmt w:val="chineseCounting"/>
      <w:suff w:val="nothing"/>
      <w:lvlText w:val="（%1）"/>
      <w:lvlJc w:val="left"/>
      <w:rPr>
        <w:rFonts w:hint="eastAsia"/>
      </w:rPr>
    </w:lvl>
  </w:abstractNum>
  <w:abstractNum w:abstractNumId="1">
    <w:nsid w:val="4D63189B"/>
    <w:multiLevelType w:val="singleLevel"/>
    <w:tmpl w:val="4D63189B"/>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5FAA69D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2170a8-ef57-440a-a4a0-e5a56d538976}">
  <ds:schemaRefs/>
</ds:datastoreItem>
</file>

<file path=customXml/itemProps3.xml><?xml version="1.0" encoding="utf-8"?>
<ds:datastoreItem xmlns:ds="http://schemas.openxmlformats.org/officeDocument/2006/customXml" ds:itemID="{be8b15f9-c178-4896-9cca-a3f955631452}">
  <ds:schemaRefs/>
</ds:datastoreItem>
</file>

<file path=customXml/itemProps4.xml><?xml version="1.0" encoding="utf-8"?>
<ds:datastoreItem xmlns:ds="http://schemas.openxmlformats.org/officeDocument/2006/customXml" ds:itemID="{9b4cab92-6318-4b03-a34d-9e8482499079}">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2025-08-26T02:35:50Z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DBDADDAA281C483A893C2050055067F9</vt:lpwstr>
  </property>
</Properties>
</file>