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苏银理财恒源鑫泰固收增强最短持有270天</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苏银理财恒源鑫泰固收增强最短持有270天</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2023年09月15日</w:t>
      </w:r>
      <w:r>
        <w:rPr>
          <w:rFonts w:hint="eastAsia" w:ascii="楷体" w:hAnsi="楷体" w:eastAsia="楷体" w:cs="楷体"/>
        </w:rPr>
        <w:t>成立，于</w:t>
      </w:r>
      <w:r>
        <w:rPr>
          <w:rFonts w:hint="eastAsia" w:ascii="楷体" w:hAnsi="楷体" w:eastAsia="楷体" w:cs="楷体"/>
          <w:spacing w:val="-7"/>
        </w:rPr>
        <w:t>2023年09月15日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苏银理财恒源鑫泰固收增强最短持有270天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Z7003123000137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1,696,791,640.36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1,809,502,595.55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31000188000551629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1,809,753,309.29</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100.01%</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苏银理财恒源鑫泰（固收增强）最短持有270天A</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1.066425</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1.066425</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2.60%-5.50%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7.60%</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0.29%</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7.89%</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92.11%</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1275" w:type="dxa"/>
          </w:tcPr>
          <w:p>
            <w:pPr>
              <w:jc w:val="center"/>
              <w:rPr>
                <w:rFonts w:hint="eastAsia" w:ascii="楷体" w:hAnsi="楷体" w:eastAsia="楷体" w:cs="楷体"/>
                <w:sz w:val="22"/>
              </w:rPr>
            </w:pPr>
            <w:r>
              <w:rPr>
                <w:rFonts w:hint="eastAsia" w:ascii="楷体" w:hAnsi="楷体" w:eastAsia="楷体" w:cs="楷体"/>
                <w:sz w:val="22"/>
              </w:rPr>
              <w:t>现金及银行存款</w:t>
            </w:r>
          </w:p>
        </w:tc>
        <w:tc>
          <w:tcPr>
            <w:tcW w:w="2235" w:type="dxa"/>
          </w:tcPr>
          <w:p>
            <w:pPr>
              <w:jc w:val="center"/>
              <w:rPr>
                <w:rFonts w:hint="eastAsia" w:ascii="楷体" w:hAnsi="楷体" w:eastAsia="楷体" w:cs="楷体"/>
                <w:sz w:val="22"/>
              </w:rPr>
            </w:pPr>
            <w:r>
              <w:rPr>
                <w:rFonts w:hint="eastAsia" w:ascii="楷体" w:hAnsi="楷体" w:eastAsia="楷体" w:cs="楷体"/>
                <w:sz w:val="22"/>
              </w:rPr>
              <w:t>387,775,549.05</w:t>
            </w:r>
          </w:p>
        </w:tc>
        <w:tc>
          <w:tcPr>
            <w:tcW w:w="1800" w:type="dxa"/>
          </w:tcPr>
          <w:p>
            <w:pPr>
              <w:jc w:val="center"/>
              <w:rPr>
                <w:rFonts w:hint="eastAsia" w:ascii="楷体" w:hAnsi="楷体" w:eastAsia="楷体" w:cs="楷体"/>
                <w:sz w:val="22"/>
              </w:rPr>
            </w:pPr>
            <w:r>
              <w:rPr>
                <w:rFonts w:hint="eastAsia" w:ascii="楷体" w:hAnsi="楷体" w:eastAsia="楷体" w:cs="楷体"/>
                <w:sz w:val="22"/>
              </w:rPr>
              <w:t>20.85%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易方达现金增利货币B</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43,380,505.75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银河钱包货币B</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43,271,119.17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42,950,736.35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26,339,346.05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汇添富收益快钱D</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22,218,803.17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交银天益宝货币E</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公募基金</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20,452,004.82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固收增强270天上海银行20250304</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20,136,850.00</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拆放同业及债券买入返售</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16,857,280.59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24茂名Y1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11,751,070.01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0.63%</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江苏省国际信托有限责任公司</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NETA20201230000002</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江苏信托鼎泰1号集合资金信托计划</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85,545,578.20</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105,000,000.00</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回购</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东吴证券股份有限公司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17,000,017.00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232,513.91</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106,606.14</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1,696,791,640.36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784,078,668.59</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hint="eastAsia" w:ascii="楷体" w:hAnsi="楷体" w:cs="Times New Roman"/>
          <w:b w:val="0"/>
          <w:sz w:val="21"/>
          <w:lang w:val="en-US" w:eastAsia="zh-CN"/>
        </w:rPr>
      </w:pPr>
      <w:r>
        <w:rPr>
          <w:rFonts w:hint="eastAsia" w:ascii="楷体" w:hAnsi="楷体" w:cs="Times New Roman"/>
          <w:b w:val="0"/>
          <w:sz w:val="21"/>
          <w:lang w:val="en-US" w:eastAsia="zh-CN"/>
        </w:rPr>
        <w:t>1、</w:t>
      </w:r>
      <w:r>
        <w:rPr>
          <w:rFonts w:ascii="楷体" w:hAnsi="楷体" w:cs="Times New Roman"/>
          <w:b w:val="0"/>
          <w:sz w:val="21"/>
        </w:rPr>
        <w:t>运作期</w:t>
      </w:r>
      <w:r>
        <w:rPr>
          <w:rFonts w:hint="eastAsia" w:ascii="楷体" w:hAnsi="楷体" w:cs="Times New Roman"/>
          <w:b w:val="0"/>
          <w:sz w:val="21"/>
          <w:lang w:val="en-US" w:eastAsia="zh-CN"/>
        </w:rPr>
        <w:t>回顾</w:t>
      </w:r>
    </w:p>
    <w:p>
      <w:pPr>
        <w:pStyle w:val="2"/>
        <w:ind w:firstLine="420" w:firstLineChars="200"/>
        <w:rPr>
          <w:rFonts w:hint="eastAsia" w:ascii="楷体" w:hAnsi="楷体" w:cs="Times New Roman"/>
          <w:b w:val="0"/>
          <w:sz w:val="21"/>
          <w:lang w:val="en-US" w:eastAsia="zh-CN"/>
        </w:rPr>
      </w:pPr>
      <w:r>
        <w:rPr>
          <w:rFonts w:hint="eastAsia" w:ascii="楷体" w:hAnsi="楷体" w:cs="Times New Roman"/>
          <w:b w:val="0"/>
          <w:sz w:val="21"/>
          <w:lang w:val="en-US" w:eastAsia="zh-CN"/>
        </w:rPr>
        <w:t>回顾二季度，万得全A指数收涨3.86%，沪深300指数上涨1.25%，中证1000指数收涨2.08%，在4月7日单日万得全A跌幅超过9%的基础上，市场风险偏好有所修复。5月12日中美关税谈判取得重要进展，税率大幅下降，A股指数进入震荡平稳区间，宽松的流动性环境为市场提供了底部支撑。而港股今年以来的上行主要依靠估值提升，业绩平稳，AH溢价率持续收窄，南向资金定价能力显著增强。</w:t>
      </w:r>
    </w:p>
    <w:p>
      <w:pPr>
        <w:rPr>
          <w:rFonts w:hint="eastAsia"/>
          <w:lang w:val="en-US" w:eastAsia="zh-CN"/>
        </w:rPr>
      </w:pPr>
    </w:p>
    <w:p>
      <w:pPr>
        <w:pStyle w:val="2"/>
        <w:rPr>
          <w:rFonts w:hint="eastAsia" w:ascii="楷体" w:hAnsi="楷体" w:cs="Times New Roman"/>
          <w:b w:val="0"/>
          <w:sz w:val="21"/>
          <w:lang w:val="en-US" w:eastAsia="zh-CN"/>
        </w:rPr>
      </w:pPr>
      <w:r>
        <w:rPr>
          <w:rFonts w:hint="eastAsia" w:ascii="楷体" w:hAnsi="楷体" w:cs="Times New Roman"/>
          <w:b w:val="0"/>
          <w:sz w:val="21"/>
          <w:lang w:val="en-US" w:eastAsia="zh-CN"/>
        </w:rPr>
        <w:t>2、</w:t>
      </w:r>
      <w:r>
        <w:rPr>
          <w:rFonts w:ascii="楷体" w:hAnsi="楷体" w:cs="Times New Roman"/>
          <w:b w:val="0"/>
          <w:sz w:val="21"/>
        </w:rPr>
        <w:t>后市展望及下阶段投资策略</w:t>
      </w:r>
    </w:p>
    <w:p>
      <w:pPr>
        <w:ind w:firstLine="420" w:firstLineChars="200"/>
        <w:rPr>
          <w:rFonts w:hint="eastAsia" w:ascii="楷体" w:hAnsi="楷体" w:eastAsia="楷体" w:cs="Times New Roman"/>
          <w:b w:val="0"/>
          <w:bCs/>
          <w:kern w:val="0"/>
          <w:sz w:val="21"/>
          <w:szCs w:val="21"/>
          <w:lang w:val="en-US" w:eastAsia="zh-CN" w:bidi="ar-SA"/>
        </w:rPr>
      </w:pPr>
      <w:r>
        <w:rPr>
          <w:rFonts w:hint="eastAsia" w:ascii="楷体" w:hAnsi="楷体" w:eastAsia="楷体" w:cs="Times New Roman"/>
          <w:b w:val="0"/>
          <w:bCs/>
          <w:kern w:val="0"/>
          <w:sz w:val="21"/>
          <w:szCs w:val="21"/>
          <w:lang w:val="en-US" w:eastAsia="zh-CN" w:bidi="ar-SA"/>
        </w:rPr>
        <w:t>从基本面来看，地产投资增速维持在-10%左右，制造业投资增速则维持在9%左右，呈现出明显的分化。在新旧动能的转化下，在制造业活动的重置中，我们认为人工智能、高端制造等大科技方向具备投资机会，同时新消费的崛起，通过优质供给创造需求也表明中国制造业优势从工程师红利转向设计师红利，个股机会仍可以挖掘。如果后续基本面得以验证、政策效力出现奏效后，市场才能更加稳定。因此，我们将通过构建具有个股挖掘能力和仓位控制能力的灵活交易型策略进行应对，在稳健的基础上把握市场机会。</w:t>
      </w:r>
    </w:p>
    <w:p>
      <w:pPr>
        <w:ind w:firstLine="420" w:firstLineChars="200"/>
        <w:rPr>
          <w:rFonts w:hint="eastAsia" w:ascii="楷体" w:hAnsi="楷体" w:eastAsia="楷体" w:cs="Times New Roman"/>
          <w:b w:val="0"/>
          <w:bCs/>
          <w:kern w:val="0"/>
          <w:sz w:val="21"/>
          <w:szCs w:val="21"/>
          <w:lang w:val="en-US" w:eastAsia="zh-CN" w:bidi="ar-SA"/>
        </w:rPr>
      </w:pPr>
    </w:p>
    <w:p>
      <w:pPr>
        <w:pStyle w:val="2"/>
        <w:rPr>
          <w:rFonts w:ascii="楷体" w:hAnsi="楷体" w:cs="Times New Roman"/>
          <w:b w:val="0"/>
          <w:sz w:val="21"/>
        </w:rPr>
      </w:pPr>
      <w:r>
        <w:rPr>
          <w:rFonts w:hint="eastAsia" w:ascii="楷体" w:hAnsi="楷体" w:cs="Times New Roman"/>
          <w:b w:val="0"/>
          <w:sz w:val="21"/>
          <w:lang w:val="en-US" w:eastAsia="zh-CN"/>
        </w:rPr>
        <w:t>3、</w:t>
      </w:r>
      <w:r>
        <w:rPr>
          <w:rFonts w:ascii="楷体" w:hAnsi="楷体" w:cs="Times New Roman"/>
          <w:b w:val="0"/>
          <w:sz w:val="21"/>
        </w:rPr>
        <w:t>流动性风险分析</w:t>
      </w:r>
    </w:p>
    <w:p>
      <w:pPr>
        <w:pStyle w:val="2"/>
        <w:keepNext w:val="0"/>
        <w:keepLines w:val="0"/>
        <w:pageBreakBefore w:val="0"/>
        <w:widowControl w:val="0"/>
        <w:kinsoku/>
        <w:wordWrap/>
        <w:overflowPunct/>
        <w:topLinePunct w:val="0"/>
        <w:autoSpaceDE w:val="0"/>
        <w:autoSpaceDN w:val="0"/>
        <w:bidi w:val="0"/>
        <w:adjustRightInd w:val="0"/>
        <w:snapToGrid/>
        <w:ind w:left="119" w:firstLine="420" w:firstLineChars="200"/>
        <w:textAlignment w:val="auto"/>
        <w:rPr>
          <w:rFonts w:hint="eastAsia" w:ascii="楷体" w:hAnsi="楷体" w:cs="Times New Roman"/>
          <w:b w:val="0"/>
          <w:sz w:val="21"/>
          <w:lang w:val="en-US" w:eastAsia="zh-CN"/>
        </w:rPr>
      </w:pPr>
      <w:r>
        <w:rPr>
          <w:rFonts w:hint="eastAsia" w:ascii="楷体" w:hAnsi="楷体" w:cs="Times New Roman"/>
          <w:b w:val="0"/>
          <w:sz w:val="21"/>
          <w:lang w:val="en-US" w:eastAsia="zh-CN"/>
        </w:rPr>
        <w:t>本产品投向债券资产信用资质较好，股票资产仓位较低，整体流动性风险可控。</w:t>
      </w:r>
    </w:p>
    <w:p>
      <w:pPr>
        <w:pStyle w:val="4"/>
        <w:spacing w:before="0" w:line="240" w:lineRule="auto"/>
        <w:ind w:left="0" w:right="0" w:firstLine="0" w:firstLineChars="0"/>
        <w:rPr>
          <w:rFonts w:hint="eastAsia" w:ascii="楷体" w:hAnsi="楷体" w:eastAsia="楷体" w:cs="楷体"/>
          <w:sz w:val="21"/>
        </w:rPr>
      </w:pPr>
      <w:bookmarkStart w:id="1" w:name="_GoBack"/>
      <w:bookmarkEnd w:id="1"/>
    </w:p>
    <w:p>
      <w:pPr>
        <w:ind w:firstLine="560" w:firstLineChars="200"/>
        <w:rPr>
          <w:rFonts w:hint="eastAsia" w:ascii="楷体" w:hAnsi="楷体" w:eastAsia="楷体" w:cs="楷体"/>
          <w:bCs/>
          <w:kern w:val="0"/>
          <w:szCs w:val="21"/>
        </w:rPr>
      </w:pPr>
    </w:p>
    <w:p>
      <w:pPr>
        <w:rPr>
          <w:rFonts w:hint="eastAsia" w:ascii="楷体" w:hAnsi="楷体" w:eastAsia="楷体" w:cs="楷体"/>
        </w:rPr>
      </w:pPr>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632"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633"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1B9F9"/>
    <w:multiLevelType w:val="singleLevel"/>
    <w:tmpl w:val="9F81B9F9"/>
    <w:lvl w:ilvl="0" w:tentative="0">
      <w:start w:val="3"/>
      <w:numFmt w:val="decimal"/>
      <w:suff w:val="nothing"/>
      <w:lvlText w:val="%1）"/>
      <w:lvlJc w:val="left"/>
    </w:lvl>
  </w:abstractNum>
  <w:abstractNum w:abstractNumId="1">
    <w:nsid w:val="01836A6D"/>
    <w:multiLevelType w:val="singleLevel"/>
    <w:tmpl w:val="01836A6D"/>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2632456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632"/>
    <customShpInfo spid="_x0000_s2049"/>
    <customShpInfo spid="_x0000_s2633"/>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ede2ba-9628-45c3-9ee0-6cac8b72abc3}">
  <ds:schemaRefs/>
</ds:datastoreItem>
</file>

<file path=customXml/itemProps3.xml><?xml version="1.0" encoding="utf-8"?>
<ds:datastoreItem xmlns:ds="http://schemas.openxmlformats.org/officeDocument/2006/customXml" ds:itemID="{719a2769-6ade-43a9-8c88-035ebe8845d1}">
  <ds:schemaRefs/>
</ds:datastoreItem>
</file>

<file path=customXml/itemProps4.xml><?xml version="1.0" encoding="utf-8"?>
<ds:datastoreItem xmlns:ds="http://schemas.openxmlformats.org/officeDocument/2006/customXml" ds:itemID="{1c3e83d1-7343-4e64-a4a8-a622fb56fd63}">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2025-07-15T07:40:23Z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CF9F0EF619F84D1493002B972996020C</vt:lpwstr>
  </property>
</Properties>
</file>