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14,609,840,463.83份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华泰资产管理有限公司,广发基金管理有限公司,紫金信托有限责任公司,陆家嘴国际信托有限公司,泰康资产管理有限责任公司,太平洋资产管理有限责任公司,江苏省国际信托有限责任公司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7,272,341,920.48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1.055777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1.055777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8,147,432.70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1.057564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1.057564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2,480,902,810.40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22,533,603.59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1.051077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1.051077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4,280,077,674.63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1,366,438,959.24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1.055705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1.055705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继续探底，政策对于地产托而不举，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截至报告期末，本产品A32011份额净值为1.055777元，A32012份额净值为1.057564元，A32013份额净值为1.053892元，A32027份额净值为1.051077元，A32031份额净值为1.058329元，A32077份额净值为1.055705元。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3,986,996,486.89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720,606,691.59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501,536,111.67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民生银行定期存款20250704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0101090000000655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产品投资于关联方承销的证券交易金额72,294,789.04元。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产品与关联方作为交易对手开展的投融资业务交易金额140,000,000.00元。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产品投资关联方作为管理人的资产管理产品交易金额4,350,000,000.00元。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产品支付关联方托管费835,910.99元，支付关联方代销费3,720,695.41元。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