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南银理财鼎瑞悦稳（最低持有371天）1号公募人民币理财产品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南银理财鼎瑞悦稳（最低持有371天）1号公募人民币理财产品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Z7003224000200（投资者可依据该编码在中国理财网www.chinawealth.com.cn查询理财产品相关信息）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2024年09月27日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8,113,469,470.16份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五矿国际信托有限公司,天弘基金管理有限公司,富国基金管理有限公司,鑫元基金管理有限公司,易方达基金管理有限公司,景顺长城基金管理有限公司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4,647,023,081.64</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1.031690</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1.031690</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3,717,957,867.02</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1.030136</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1.030136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2025年07月01日 - 2025年09月30日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A32041</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2025年07月01日 - 2025年09月30日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A32043</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  操作方面，坚持稳健运作的投资理念，对于利差保护较足的信用资产积极配置，同时关注交易活跃品种的波段机会，结合收益率水平做好久期与杠杆管理，获取稳健的投资回报。</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截至报告期末，本产品A32041份额净值为1.031690元，A32043份额净值为1.030136元。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95.99%</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94.77%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4.01%</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763,001,237.50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9.12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ZJQTT202401040001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五矿信托-苏鑫1号集合资金信托计划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710,123,491.84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112505077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25建设银行CD077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295,851,900.00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09240412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24农发清发12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290,649,600.00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112503275</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25农业银行CD275</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196,718,800.00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232580002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25建行二级资本债01BC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119,300,640.00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232580022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25工行二级资本债03BC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118,181,640.00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102480983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24扬子江投MTN001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101,343,800.00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102480881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24两山建设MTN001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101,239,600.00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102485221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24黄海金融MTN002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100,744,600.00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0101030000001200</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南京银行南京分行南银理财鼎瑞悦稳最低持有371天1号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产品投资于关联方承销的证券交易金额40,232,767.12元。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产品与关联方作为交易对手开展的投融资业务交易金额120,000,000.00元。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产品投资关联方作为管理人的资产管理产品交易金额799,000,000.00元。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产品支付关联方托管费382,285.66元，支付关联方代销费2,188,369.32元。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2025年09月30日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