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Z7003224000067（投资者可依据该编码在中国理财网www.chinawealth.com.cn查询理财产品相关信息）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320,861,700.00份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211,380,725.88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114,007,082.05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13,162,980.37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截至报告期末，本产品Y60067份额净值为1.0545元，Y61067份额净值为1.0560元，Y62067份额净值为1.0575元。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194,649,651.39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146,224,067.01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43.19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0101040000000974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产品支付关联方托管费0.00元，支付关联方代销费50,654.33元。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