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南银理财珠联璧合鑫逸稳两年79期封闭式公募人民币理财产品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南银理财珠联璧合鑫逸稳两年79期封闭式公募人民币理财产品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Z7003224000132（投资者可依据该编码在中国理财网www.chinawealth.com.cn查询理财产品相关信息）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2024年07月10日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116,358,441.00份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国联基金管理有限公司,广东粤财信托有限公司,陆家嘴国际信托有限公司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Y60079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89,573,837.61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1.0396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1.0396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Y61079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26,811,179.06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Y62079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4,633,387.33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鑫逸稳两年期封闭式产品，今年三季度产品操作稳健偏防守。三季度债券市场走势震荡偏弱，利率债、信用债等波动幅度较二季度有所放大，虽然资金面整体仍维持宽松，隐形的资金下限未打破，反内卷引发走出通缩的交易预期、风险偏好的持续抬升也压制债券表现，各类品种收益率水平有不同程度上行。三季度产品运作过程中操作转向防守，阶段性降低了产品的杠杆及久期水平以更好的控制回撤。在上旬减持了部分性价比偏弱的个券降低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截至报告期末，本产品Y60079份额净值为1.0396元，Y61079份额净值为1.0409元，Y62079份额净值为1.0421元。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XTDKX202407300023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粤财信托·瑞兴164号集合资金信托计划（第2期）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58,563,860.34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48.39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38,713,855.51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31.99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23,808,750.80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邳州市产业投资控股集团有限公司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粤财信托·瑞兴164号集合资金信托计划（第2期）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0101070000001081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南京银行南京分行南银理财鑫逸稳两年79期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产品支付关联方托管费0.00元，支付关联方代销费33,726.60元。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