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南银理财珠联璧合鑫逸稳两年80期封闭式公募人民币理财产品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南银理财珠联璧合鑫逸稳两年80期封闭式公募人民币理财产品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Z7003224000134（投资者可依据该编码在中国理财网www.chinawealth.com.cn查询理财产品相关信息）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2024年07月17日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109,538,328.00份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80,412,217.28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31,581,309.04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1,800,280.66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截至报告期末，本产品Y60080份额净值为1.0384元，Y61080份额净值为1.0396元，Y62080份额净值为1.0409元。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58,791,449.20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29,581,831.53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24,738,182.39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0101050000001082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产品支付关联方托管费0.00元，支付关联方代销费26,458.67元。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