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南银理财珠联璧合鑫逸稳两年102期封闭式公募人民币理财产品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南银理财珠联璧合鑫逸稳两年102期封闭式公募人民币理财产品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Z7003224000267（投资者可依据该编码在中国理财网www.chinawealth.com.cn查询理财产品相关信息）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2024年12月25日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29,128,256.00份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国联基金管理有限公司,陆家嘴国际信托有限公司,中国对外经济贸易信托有限公司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Y60102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13,088,776.39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Y61102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12,957,783.23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Y62102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3,784,947.05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市场围绕“反内卷”开展交易，通缩逻辑动摇，权益及商品市场大涨；债市则在缺乏新的驱动力量的情况下，受股债跷跷板的影响行情走弱；公募基金受“费率新规”的影响负债端出现脉冲式赎回。受此影响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鑫逸稳两年期封闭式产品，今年三季度产品操作稳健偏防守。三季度债券市场走势震荡偏弱，利率债、信用债等波动幅度较二季度有所放大，虽然资金面整体仍维持宽松，隐形的资金下限未打破，反内卷引发走出通缩的交易预期、风险偏好的持续抬升也压制债券表现，各类品种收益率水平有不同程度上行。三季度产品运作过程中操作转向防守，阶段性降低了产品的杠杆及久期水平以更好的控制回撤。在上旬减持了部分性价比偏弱的个券降低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截至报告期末，本产品Y60102份额净值为1.0236元，Y61102份额净值为1.0243元，Y62102份额净值为1.0251元。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98.06%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22,223,794.03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74.50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陆家嘴信托-陆享20号集合资金信托计划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4,998,349.28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16.76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2,634,540.55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0101040000001285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南银理财珠联璧合鑫逸稳两年102期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产品支付关联方托管费0.00元，支付关联方代销费9,013.69元。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