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南银理财珠联璧合鑫逸稳两年112期封闭式公募人民币理财产品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南银理财珠联璧合鑫逸稳两年112期封闭式公募人民币理财产品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Z7003225000086（投资者可依据该编码在中国理财网www.chinawealth.com.cn查询理财产品相关信息）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2025年04月09日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201,584,089.00份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华鑫国际信托有限公司,国联基金管理有限公司,陆家嘴国际信托有限公司,中国对外经济贸易信托有限公司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Y60112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138,688,190.41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Y61112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56,711,423.95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Y62112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8,949,577.44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鑫逸稳两年期封闭式产品，今年三季度产品操作稳健偏防守。三季度债券市场走势震荡偏弱，利率债、信用债等波动幅度较二季度有所放大，虽然资金面整体仍维持宽松，隐形的资金下限未打破，反内卷引发走出通缩的交易预期、风险偏好的持续抬升也压制债券表现，各类品种收益率水平有不同程度上行。三季度产品运作过程中操作转向防守，阶段性降低了产品的杠杆及久期水平以更好的控制回撤。在上旬减持了部分性价比偏弱的个券降低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截至报告期末，本产品Y60112份额净值为1.0135元，Y61112份额净值为1.0140元，Y62112份额净值为1.0145元。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97.70%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XTDKX202506040001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华鑫信托·嘉盈予墨115号集合资金信托计划（第2期）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91,008,068.40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44.54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40,136,455.83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40,072,065.47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陆家嘴信托-陆享20号集合资金信托计划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33,257,264.90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16.27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蚂蚁星河(重庆)信息技术有限公司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华鑫信托·嘉盈予墨115号集合资金信托计划（第2期）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0101060000001454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南银理财珠联璧合鑫逸稳两年112期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产品支付关联方托管费0.00元，支付关联方代销费53,954.67元。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