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南银理财珠联璧合鑫逸稳三年3期封闭式公募人民币理财产品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南银理财珠联璧合鑫逸稳三年3期封闭式公募人民币理财产品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Z7003223000110（投资者可依据该编码在中国理财网www.chinawealth.com.cn查询理财产品相关信息）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2023年06月20日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257,811,967.00份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报告期（2025年07月01日 - 2025年09月30日）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Y90003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285,962,283.81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1.1091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1.1091</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三季度债市震荡调整。市场围绕“反内卷”开展交易，通缩逻辑动摇，权益及商品市场大涨；债市则在缺乏新的驱动力量的情况下，受股债跷跷板的影响行情走弱；公募基金受“费率新规”的影响负债端出现脉冲式赎回。受此影响长端利率冲击年内高点，截止9月30日，10年国债收益率从1.65%上行至1.86%。</w:t>
        <w:br w:type="textWrapping" w:clear="all"/>
      </w:r>
      <w:r>
        <w:rPr>
          <w:rFonts w:hint="eastAsia" w:ascii="方正仿宋简体" w:eastAsia="方正仿宋简体"/>
          <w:sz w:val="24"/>
          <w:szCs w:val="24"/>
        </w:rPr>
        <w:t>  展望四季度，当前的宏观环境对债市不构成利空。从基本面的角度来看，尽管2025年上半年的GDP同比增长5.3%，更多的来自于财政提前发力和抢出口的影响，但是需求端依然较为疲软，地产依然处于探底状态，政策对于地产的态度依然是托而不举，最新公布的社零、社融等数据依然较弱，内需依然面临较大的下行压力。货币政策方面，未来一段时间适度宽松的货币环境较为确定，美联储的降息也给国内的降准降息打开了空间。短期内因股市向好和机构负债端的压力导致的债市调整，给我们带来了较好的投资机会。</w:t>
        <w:br w:type="textWrapping" w:clear="all"/>
      </w:r>
      <w:r>
        <w:rPr>
          <w:rFonts w:hint="eastAsia" w:ascii="方正仿宋简体" w:eastAsia="方正仿宋简体"/>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截至报告期末，本产品份额净值为1.1091元。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ZJQTT202301110001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外贸信托-鑫华优享1号证券投资集合资金信托计划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287,531,623.06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100.55</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0101020000000569</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南京银行南京分行南银理财鑫逸稳三年3期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产品支付关联方托管费0.00元，支付关联方代销费67,137.67元。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2025年09月30日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