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南银理财珠联璧合鑫逸稳三年4期封闭式公募人民币理财产品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南银理财珠联璧合鑫逸稳三年4期封闭式公募人民币理财产品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Z7003223000115（投资者可依据该编码在中国理财网www.chinawealth.com.cn查询理财产品相关信息）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2023年07月19日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150,481,353.00份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广东粤财信托有限公司,中国对外经济贸易信托有限公司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Y90004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166,003,214.44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1.1031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1.1031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市场围绕“反内卷”开展交易，通缩逻辑动摇，权益及商品市场大涨；债市则在缺乏新的驱动力量的情况下，受股债跷跷板的影响行情走弱；公募基金受“费率新规”的影响负债端出现脉冲式赎回。受此影响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截至报告期末，本产品份额净值为1.1031元。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92,687,138.47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55.83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XTDKX202408060021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粤财信托·瑞兴133号集合资金信托计划（第4期）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72,191,697.84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43.49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泰州市古城建设投资有限公司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粤财信托·瑞兴133号集合资金信托计划（第4期）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0101000000000570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南京银行南京分行南银理财鑫逸稳三年4期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产品支付关联方托管费0.00元，支付关联方代销费34,167.21元。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