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南银理财珠联璧合安稳1908一年定开公募人民币理财产品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4,536,992,553.84份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中粮信托有限责任公司,中诚信托有限责任公司,国投泰康信托有限公司,天弘基金管理有限公司,招商基金管理有限公司,易方达基金管理有限公司,景顺长城基金管理有限公司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3,369,418,126.82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279,342,662.60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38,362,534.63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196,590,072.72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35,989,652.68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152,458,384.31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107,551,941.43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ZH30004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21,692,858.83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145,747,741.74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ZK30004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84,442,749.31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50,557,963.62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ZN30004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39,981,321.11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ZO30004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12,576,692.14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30004份额净值为0.9994元，ZB30004份额净值为0.9995元，ZC30004份额净值为0.9995元，ZD30004份额净值为0.9995元，ZE30004份额净值为0.9995元，ZF30004份额净值为0.9995元，ZG30004份额净值为0.9995元，ZH30004份额净值为0.9995元，ZJ30004份额净值为0.9995元，ZK30004份额净值为0.9995元，ZM30004份额净值为0.9995元，ZN30004份额净值为0.9995元，ZO30004份额净值为0.9995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96.77%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1,094,119,002.09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289,897,099.46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169,837,486.73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255873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24沛兴01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256329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60,572,640.00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102482740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24海安经开MTN001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60,145,200.00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25太湖湾PPN001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60,091,920.00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25春秋淹城PPN002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60,075,540.00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102582451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25钟楼新城MTN001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59,555,460.00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25新沂01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59,100,960.00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产品投资于关联方承销的证券交易金额270,031,000.02元。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产品支付关联方托管费198,492.05元，支付关联方代销费1,861,423.94元。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