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南银理财珠联璧合安稳2001一年定开公募人民币理财产品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南银理财珠联璧合安稳2001一年定开公募人民币理财产品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Z7003221000018（投资者可依据该编码在中国理财网www.chinawealth.com.cn查询理财产品相关信息）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2020年01月16日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6,532,589,755.37份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上海国际信托有限公司,中粮信托有限责任公司,中诚信托有限责任公司,南京证券股份有限公司,天弘基金管理有限公司,广东粤财信托有限公司,招商基金管理有限公司,百瑞信托有限责任公司,鑫元基金管理有限公司,鑫沅资产管理有限公司,易方达基金管理有限公司,景顺长城基金管理有限公司,重庆国际信托股份有限公司,交银施罗德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4,462,366,154.92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1.2459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Z31009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459,254,342.61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Z32009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376,804,286.22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Z33009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375,319,024.10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ZA30009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180,997,320.92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ZA31009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34,062,017.00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ZA32009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243,129,192.67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ZA33009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101,197,540.66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ZB30009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44,874,850.84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ZB31009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158,866,280.88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ZB32009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63,170,398.75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ZB33009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129,717,263.74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7月雅江水电站项目开工，市场开始围绕“反内卷”开展交易，通缩逻辑动摇，权益及商品市场大涨；债市则在缺乏新的驱动力量的情况下，受股债跷跷板的影响行情走弱；公募基金受“费率新规”的影响负债端出现脉冲式赎回。央行连续超额续作MLF及买断式逆回购，重启14天逆回购，持续呵护货币市场，资金利率维持平稳。债市曲线走陡，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30009份额净值为1.0147元，Z31009份额净值为1.0150元，Z32009份额净值为1.0146元，Z33009份额净值为1.0148元，ZA30009份额净值为1.0156元，ZA31009份额净值为1.0159元，ZA32009份额净值为1.0155元，ZA33009份额净值为1.0157元，ZB30009份额净值为1.0153元，ZB31009份额净值为1.0156元，ZB32009份额净值为1.0152元，ZB33009份额净值为1.0154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94.43%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5.57%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1,267,910,963.58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529,200,735.58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XTDKX202504220003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重庆信托·常州发展3号集合资金信托计划（第1期）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324,480,592.44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XTDKX202503260024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300,553,158.00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227,002,932.48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XTDKX202503260002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粤财信托·瑞兴198号集合资金信托计划第2期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204,654,154.00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重庆信托·扬州发展5号集合资金信托计划第2期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200,438,992.00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200,329,702.00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XTDKX202504080003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重庆信托·连云港发展3号集合资金信托计划（第1期）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190,297,971.30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中诚信托·诚农15号集合资金信托计划（第3期）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135,239,496.75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江苏金坛建设集团有限公司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重庆信托·常州发展3号集合资金信托计划（第1期）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盐城市国有资产投资集团有限公司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粤财信托·瑞兴216号集合资金信托计划第1期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盐城高新区投资集团有限公司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粤财信托·瑞兴219号集合资金信托计划第1期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徐州金龙湖控股集团有限公司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粤财信托·瑞兴201号集合资金信托计划（第1期）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东台惠民城镇化建设集团有限公司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百瑞恒益1606号集合资金信托计划（南瑞10号）第1期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扬州安康产业投资有限公司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粤财信托·瑞兴213号集合资金信托计划第2期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高邮市交通产业投资集团有限公司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江苏东和投资集团有限公司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粤财信托·瑞兴198号集合资金信托计划第2期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江苏陶都产业发展集团有限公司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中诚信托·诚农15号集合资金信托计划（第3期）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启东市新城建设投资发展有限公司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江苏新海诚发展集团有限公司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重庆信托·连云港发展3号集合资金信托计划（第1期）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南京吉山国有资产运营集团有限公司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重庆信托·江宁发展5号集合资金信托计划（第2期）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南京吉山国有资产运营集团有限公司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重庆信托·江宁发展5号集合资金信托计划（第3期）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泰州城发资本投资有限公司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中诚信托睿信19号集合资金信托计划（第1期）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靖江市华宇投资建设有限公司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粤财信托·瑞兴215号集合资金信托计划（第1期）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绍兴袍江经济技术开发区投资发展集团有限公司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粤财信托·瑞兴220号集合资金信托计划（第1期）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泰兴市襟江投资有限公司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上海信托·襟江投资信托贷款集合资金信托计划（第1期）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无锡市太湖新城资产经营管理有限公司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粤财信托·瑞兴221号集合资金信托计划（第1期）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泰州新区新农村建设投资发展有限公司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中诚信托睿信17号集合资金信托计划（第1期）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0120030000000341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南京银行安稳2001一年定开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产品投资于关联方承销的证券交易金额30,001,882.19元。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产品投资关联方作为管理人的资产管理产品交易金额49,999,000.00元。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产品支付关联方托管费333,340.35元，支付关联方代销费2,397,754.54元。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