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南银理财鼎瑞悦稳（最低持有371天）1号公募人民币理财产品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南银理财鼎瑞悦稳（最低持有371天）1号公募人民币理财产品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Z7003224000200（投资者可依据该编码在中国理财网www.chinawealth.com.cn查询理财产品相关信息）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2024年09月27日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6,898,707,030.93份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104.80%</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中粮信托有限责任公司,兴业国际信托有限公司,华鑫证券有限责任公司,天弘基金管理有限公司,富国基金管理有限公司,鑫元基金管理有限公司,易方达基金管理有限公司,景顺长城基金管理有限公司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3,260,693,605.61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94,576.24</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3,899,507,124.76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1.037073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1.037073</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  操作方面，坚持稳健运作的投资理念，对于利差保护较足的信用资产积极配置，同时关注交易活跃品种的波段机会，结合收益率水平做好久期与杠杆管理，获取稳健的投资回报。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截至报告期末,本产品A32041份额净值为1.038901元，A32043份额净值为1.037073元。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95.94</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94.56</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4.06</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5.44</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09240412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24农发清发12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290,401,940.00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112503275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25农业银行CD275</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196,772,400.00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149,921,941.49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130,421,331.08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114,252,286.05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254813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24宁高04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101,632,100.00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253752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24长投01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101,501,100.00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102480983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24扬子江投MTN001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101,319,200.00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254951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24经投02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101,288,900.00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254928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24高邮01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101,189,600.00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0101030000001200</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南京银行南京分行南银理财鼎瑞悦稳最低持有371天1号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25江北新区MTN004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102580606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50003520.55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25盐城国投CP001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042580101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30001931.51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25盐城东方MTN001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102580721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60013167.12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23靖江滨江MTN001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102382609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51246000.00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24古运河PPN001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51007602.74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25瘦西湖旅MTN001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20004273.97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23汉盛建设PPN001(项目收益)</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30966493.15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25滨湖建设SCP014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012581963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24银宝控股PPN004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032480861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30676619.18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25瘦西湖旅SCP001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012580055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50002726.03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25海安经开SCP002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012580789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20229972.60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24扬子江投MTN001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102480983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101906849.31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25盐城高新PPN001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22004484.39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25高邮经济PPN001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30005646.58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25武清经开MTN005</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102501290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50003465.75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25建湖建投PPN001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30006657.53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25润城城投PPN001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50003589.04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25宝应城投PPN002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032501074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80011528.77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30439865.75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102580522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49917424.66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24即墨城投PPN006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032400953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41321271.23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23射阳城建PPN001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032380672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63387523.56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25宝应城投PPN003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30001980.82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24中兴国资MTN004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102483545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30347237.67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25中兴国资MTN001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102580597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40002410.96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032480239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50781232.88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23建湖投资PPN004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032380996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32344890.41</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鑫元佳享120天持有债券A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020813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24668442.87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24999000.00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1613948002.51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1674000000.00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612557191.31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725248000.00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6155303.92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1365270.65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