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南银理财鼎瑞悦稳（最低持有60天）1号公募人民币理财产品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南银理财鼎瑞悦稳（最低持有60天）1号公募人民币理财产品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Z7003224000199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2024年09月26日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2,770,079,701.01</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100.14%</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中粮信托有限责任公司,国投泰康信托有限公司,陆家嘴国际信托有限公司,长江养老保险股份有限公司,江苏省国际信托有限责任公司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A32038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1,012,821,745.85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1.034090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1.034090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22,866.59</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A32046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1,803,647,342.90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1.032401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1.032401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A32047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44,965,202.77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1.031180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1.031180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A32038份额净值为1.034090元，A32046份额净值为1.032401元，A32047份额净值为1.031180</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97.97</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2.03</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DQCKX202506200003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农业银行定期存款20250620B</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DQCKX202506250021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农业银行定期存款20250625A</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DQCKX202507030005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农业银行定期存款20250703E</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ZJQTT202306010001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225,431,240.32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7.88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DQCKX202506030001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北京银行定期存款20250603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DQCKX202506230002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农业银行定期存款20250623A</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DQCKX202507040001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农业银行定期存款20250704A</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ZJQTT202209050001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197,675,725.64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XJCKX202504280001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华夏银行南京分行活期存款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191,375,658.79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6.69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ZJQTT202509250001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167,122,791.18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5.84</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0101010000001201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南京银行南京分行南银理财鼎瑞悦稳最低持有60天1号</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2019692756.69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2031100000.00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196676.23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2485159.24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826.69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1136640.05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