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2,338,065,277.00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2025年03月19日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1,102,076,102.27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686,591,903.27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257,971,535.10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83,623,919.47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262,462,491.00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Y30210份额净值为1.0228元，Y31210份额净值为1.0235元，Y32210份额净值为1.0243元，Y34210份额净值为1.0243元，Y38210份额净值为1.0239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90.44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819,279,799.67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644,831,849.13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320,082,356.23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305,874,891.00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203,931,830.00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91,330,708.66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10,219,794.60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0101020000001408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812962110.14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88115.85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889554.50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20519.15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