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Z7003225000179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2,080,239,336.00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天津信托有限责任公司,紫金信托有限责任公司,鑫元基金管理有限公司,大家资产管理有限责任公司,江苏省国际信托有限责任公司,中国对外经济贸易信托有限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2025年07月02日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856,273,857.98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238,250,616.08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271,400,736.63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184,274,446.46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90,302,367.46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413,851,391.21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40,772,613.17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6,338,373.02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Y30228份额净值为1.0098元，Y31228份额净值为1.0103元，Y32228份额净值为1.0108元，Y33228份额净值为1.0112元，Y34228份额净值为1.0097元，Y35228份额净值为1.0099元，Y36228份额净值为1.0102元，YA30228份额净值为1.0104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95.17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4.83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403,146,572.48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378,352,379.61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272,889,307.80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外贸信托臻璟系列集合资金信托计划40期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202,248,202.00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ZCZQT202507300005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大家-长煜5号资产支持计划（第2期）优先级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200,031,456.04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170,802,898.26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117,442,956.32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ZCZQT202508130001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光大永明-安鑫7号资产支持计划（第1期）优先级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100,015,285.85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XTDKX202507160004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99,322,320.00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84,806,400.00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外贸信托臻璟系列集合资金信托计划40期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光大永明-安鑫7号资产支持计划（第1期）优先级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光大永明-安鑫6号资产支持计划（第6期）优先级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大家-长煜5号资产支持计划（第2期）优先级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0101030000001573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551652944.09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321078824.85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35749.52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193382.04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4713.62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