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160,303,698.00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80,705,024.81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42,317,629.23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4,168,879.56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Y64089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39,985,459.21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Y60089份额净值为1.0415元，Y61089份额净值为1.0428元，Y62089份额净值为1.0441元，Y64089份额净值为1.0453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96.89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3.11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80,157,920.80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62,849,990.04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22,841,945.01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2574.28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161378.14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3770.87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