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B75FAA" w:rsidP="00F87FA0">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南银理财珠联璧合鑫逸稳两年124期封闭式公募人民币理财产品</w:t>
      </w:r>
    </w:p>
    <w:p w:rsidR="004D0A40" w:rsidRDefault="00B75FAA" w:rsidP="00F87FA0">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2025</w:t>
      </w:r>
      <w:r>
        <w:rPr>
          <w:rFonts w:ascii="方正黑体简体" w:eastAsia="方正黑体简体" w:hAnsi="黑体"/>
          <w:sz w:val="36"/>
        </w:rPr>
        <w:t>年</w:t>
      </w:r>
      <w:r>
        <w:rPr>
          <w:rFonts w:ascii="方正黑体简体" w:eastAsia="方正黑体简体" w:hAnsi="Calibri" w:hint="eastAsia"/>
          <w:sz w:val="36"/>
        </w:rPr>
        <w:t>年度</w:t>
      </w:r>
      <w:r>
        <w:rPr>
          <w:rFonts w:ascii="方正黑体简体" w:eastAsia="方正黑体简体" w:hAnsi="黑体"/>
          <w:sz w:val="36"/>
        </w:rPr>
        <w:t>报告</w:t>
      </w: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4D0A40" w:rsidRDefault="00B75FAA">
      <w:pPr>
        <w:widowControl/>
        <w:jc w:val="left"/>
        <w:rPr>
          <w:rFonts w:ascii="方正仿宋简体" w:eastAsia="方正仿宋简体"/>
          <w:sz w:val="24"/>
          <w:szCs w:val="24"/>
        </w:rPr>
      </w:pPr>
      <w:r>
        <w:rPr>
          <w:rFonts w:ascii="方正仿宋简体" w:eastAsia="方正仿宋简体"/>
          <w:sz w:val="24"/>
          <w:szCs w:val="24"/>
        </w:rPr>
        <w:br w:type="page"/>
      </w:r>
    </w:p>
    <w:p w:rsidR="004D0A40" w:rsidRDefault="00B75FAA" w:rsidP="00F87FA0">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南银理财珠联璧合鑫逸稳两年124期封闭式公募人民币理财产品</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Z7003225000184</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2025年07月02日</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262,987,278.00</w:t>
            </w:r>
            <w:r>
              <w:rPr>
                <w:rFonts w:ascii="方正仿宋简体" w:eastAsia="方正仿宋简体" w:hint="eastAsia"/>
                <w:sz w:val="24"/>
                <w:szCs w:val="24"/>
              </w:rPr>
              <w:t>份</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sz w:val="24"/>
                <w:szCs w:val="24"/>
              </w:rPr>
              <w:t>100.25%</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中粮信托有限责任公司,国投泰康信托有限公司,陆家嘴国际信托有限公司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D0A40" w:rsidRDefault="004D0A40" w:rsidP="00F87FA0">
      <w:pPr>
        <w:spacing w:before="240" w:afterLines="30" w:line="360" w:lineRule="auto"/>
        <w:rPr>
          <w:rFonts w:ascii="方正仿宋简体" w:eastAsia="方正仿宋简体" w:hAnsi="Calibri"/>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4D0A40" w:rsidRDefault="00B75FAA" w:rsidP="00F87FA0">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4D0A40">
        <w:trPr>
          <w:trHeight w:val="755"/>
          <w:jc w:val="center"/>
        </w:trPr>
        <w:tc>
          <w:tcPr>
            <w:tcW w:w="1413" w:type="dxa"/>
            <w:vMerge w:val="restart"/>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w:t>
            </w:r>
            <w:r>
              <w:rPr>
                <w:rFonts w:ascii="方正仿宋简体" w:eastAsia="方正仿宋简体" w:hint="eastAsia"/>
                <w:sz w:val="24"/>
                <w:szCs w:val="24"/>
                <w:shd w:val="clear" w:color="auto" w:fill="FFFFFF"/>
              </w:rPr>
              <w:t>2025年07月02日 - 2025年12月31日</w:t>
            </w:r>
            <w:r>
              <w:rPr>
                <w:rFonts w:ascii="方正仿宋简体" w:eastAsia="方正仿宋简体" w:hint="eastAsia"/>
                <w:sz w:val="24"/>
                <w:szCs w:val="24"/>
                <w:shd w:val="clear" w:color="auto" w:fill="FFFFFF"/>
              </w:rPr>
              <w:t>）</w:t>
            </w:r>
          </w:p>
        </w:tc>
      </w:tr>
      <w:tr w:rsidR="004D0A40">
        <w:trPr>
          <w:jc w:val="center"/>
        </w:trPr>
        <w:tc>
          <w:tcPr>
            <w:tcW w:w="1413" w:type="dxa"/>
            <w:vMerge/>
            <w:vAlign w:val="center"/>
          </w:tcPr>
          <w:p w:rsidR="004D0A40" w:rsidRDefault="004D0A40" w:rsidP="00F87FA0">
            <w:pPr>
              <w:spacing w:beforeLines="20" w:afterLines="20"/>
              <w:jc w:val="center"/>
              <w:rPr>
                <w:rFonts w:ascii="方正仿宋简体" w:eastAsia="方正仿宋简体"/>
                <w:sz w:val="24"/>
                <w:szCs w:val="24"/>
                <w:shd w:val="clear" w:color="auto" w:fill="FFFFFF"/>
              </w:rPr>
            </w:pPr>
          </w:p>
        </w:tc>
        <w:tc>
          <w:tcPr>
            <w:tcW w:w="2268"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w:t>
            </w:r>
            <w:r>
              <w:rPr>
                <w:rFonts w:ascii="方正仿宋简体" w:eastAsia="方正仿宋简体" w:hint="eastAsia"/>
                <w:sz w:val="24"/>
                <w:szCs w:val="24"/>
                <w:shd w:val="clear" w:color="auto" w:fill="FFFFFF"/>
              </w:rPr>
              <w:t>期末产品最后一个市场交易日资产净值</w:t>
            </w:r>
          </w:p>
        </w:tc>
        <w:tc>
          <w:tcPr>
            <w:tcW w:w="1701"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w:t>
            </w:r>
            <w:r>
              <w:rPr>
                <w:rFonts w:ascii="方正仿宋简体" w:eastAsia="方正仿宋简体" w:hint="eastAsia"/>
                <w:sz w:val="24"/>
                <w:szCs w:val="24"/>
                <w:shd w:val="clear" w:color="auto" w:fill="FFFFFF"/>
              </w:rPr>
              <w:t>期末产品最后一个市场交易日份额净值</w:t>
            </w:r>
          </w:p>
        </w:tc>
        <w:tc>
          <w:tcPr>
            <w:tcW w:w="2126"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w:t>
            </w:r>
            <w:r>
              <w:rPr>
                <w:rFonts w:ascii="方正仿宋简体" w:eastAsia="方正仿宋简体" w:hint="eastAsia"/>
                <w:sz w:val="24"/>
                <w:szCs w:val="24"/>
                <w:shd w:val="clear" w:color="auto" w:fill="FFFFFF"/>
              </w:rPr>
              <w:t>期末产品最后一个市场交易日份额累计净值</w:t>
            </w:r>
          </w:p>
        </w:tc>
        <w:tc>
          <w:tcPr>
            <w:tcW w:w="1394"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w:t>
            </w:r>
            <w:r>
              <w:rPr>
                <w:rFonts w:ascii="方正仿宋简体" w:eastAsia="方正仿宋简体" w:hint="eastAsia"/>
                <w:sz w:val="24"/>
                <w:szCs w:val="24"/>
                <w:shd w:val="clear" w:color="auto" w:fill="FFFFFF"/>
              </w:rPr>
              <w:t>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Y60124</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167,421,296.74</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1.0148</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1.0148</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Y61124</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87,761,835.80</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1.0153</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1.0153</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Y62124</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11,766,300.36</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1.0158</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1.0158</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在权益市场波动快速放大后关注长久期品种交易机会，资本利得交易注重交易纪律，快进快出、及时止盈。</w:t>
        <w:br w:type="textWrapping" w:clear="all"/>
      </w:r>
      <w:r>
        <w:rPr>
          <w:rFonts w:ascii="方正仿宋简体" w:eastAsia="方正仿宋简体" w:hint="eastAsia"/>
          <w:sz w:val="24"/>
          <w:szCs w:val="24"/>
        </w:rPr>
        <w:t>  今年四季度产品操作稳健偏防守。四季度债券市场走势震荡偏弱，利率债、信用债表现分化，信用债整体表现优于利率，但内部均有陡峭化特征。虽然资金面整体仍维持宽松，隐形的资金下限难以进一步走低，机构对于未来通缩企稳、风险偏好抬升以及利率债供给等有一定担忧，长端利率债领跌，信用债先下后上。四季度产品运作过程中操作维持防守，保持偏低的产品杠杆及久期水平以更好的控制回撤。在中旬减持了部分性价比偏弱的个券降低低效仓位，调整过程中也通过置换部分持仓，提升组合静态。下一阶段，产品将继续围绕稳健回报的收益目标进行操作，审慎精选票息品种，久期根据对宏观基本面的判断灵活调整，及时做好市场走势的跟踪与研判，挖掘潜在投资机会。</w:t>
      </w:r>
      <w:r>
        <w:rPr>
          <w:rFonts w:ascii="方正仿宋简体" w:eastAsia="方正仿宋简体" w:hint="eastAsia"/>
          <w:sz w:val="24"/>
          <w:szCs w:val="24"/>
        </w:rPr>
        <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今年四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4D0A40" w:rsidRDefault="00B75FAA" w:rsidP="00F87FA0">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Y60124份额净值为1.0148元，Y61124份额净值为1.0153元，Y62124份额净值为1.0158</w:t>
      </w:r>
      <w:r>
        <w:rPr>
          <w:rFonts w:ascii="方正仿宋简体" w:eastAsia="方正仿宋简体" w:hint="eastAsia"/>
          <w:sz w:val="24"/>
          <w:szCs w:val="24"/>
        </w:rPr>
        <w:t>元。</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4.3 </w:t>
      </w:r>
      <w:r>
        <w:rPr>
          <w:rFonts w:ascii="方正仿宋简体" w:eastAsia="方正仿宋简体" w:hint="eastAsia"/>
          <w:b/>
          <w:sz w:val="24"/>
          <w:szCs w:val="24"/>
        </w:rPr>
        <w:t>托管人对本报告期内报告中财务信息等内容的真实、准确和完整发表意见</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95.44</w:t>
            </w:r>
            <w:r>
              <w:rPr>
                <w:rFonts w:ascii="方正仿宋简体" w:eastAsia="方正仿宋简体" w:hAnsiTheme="minorEastAsia"/>
                <w:sz w:val="24"/>
                <w:szCs w:val="24"/>
              </w:rPr>
              <w:t>%</w:t>
            </w:r>
          </w:p>
        </w:tc>
      </w:tr>
      <w:tr w:rsidR="004D0A40">
        <w:trPr>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4.56</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D0A40" w:rsidRDefault="004D0A40" w:rsidP="00F87FA0">
      <w:pPr>
        <w:spacing w:before="240" w:afterLines="30" w:line="360" w:lineRule="auto"/>
        <w:rPr>
          <w:rFonts w:ascii="方正仿宋简体" w:eastAsia="方正仿宋简体" w:cs="宋体"/>
          <w:kern w:val="0"/>
          <w:sz w:val="24"/>
          <w:szCs w:val="24"/>
        </w:rPr>
      </w:pP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4D0A40">
        <w:trPr>
          <w:trHeight w:val="870"/>
          <w:jc w:val="center"/>
        </w:trPr>
        <w:tc>
          <w:tcPr>
            <w:tcW w:w="58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w:t>
            </w:r>
            <w:r>
              <w:rPr>
                <w:rFonts w:ascii="方正仿宋简体" w:eastAsia="方正仿宋简体" w:hAnsiTheme="minorEastAsia" w:hint="eastAsia"/>
                <w:sz w:val="24"/>
                <w:szCs w:val="24"/>
              </w:rPr>
              <w:t>(</w:t>
            </w:r>
            <w:r>
              <w:rPr>
                <w:rFonts w:ascii="方正仿宋简体" w:eastAsia="方正仿宋简体" w:hAnsiTheme="minorEastAsia" w:hint="eastAsia"/>
                <w:sz w:val="24"/>
                <w:szCs w:val="24"/>
              </w:rPr>
              <w:t>元</w:t>
            </w:r>
            <w:r>
              <w:rPr>
                <w:rFonts w:ascii="方正仿宋简体" w:eastAsia="方正仿宋简体" w:hAnsiTheme="minorEastAsia" w:hint="eastAsia"/>
                <w:sz w:val="24"/>
                <w:szCs w:val="24"/>
              </w:rPr>
              <w:t>)</w:t>
            </w:r>
          </w:p>
        </w:tc>
        <w:tc>
          <w:tcPr>
            <w:tcW w:w="178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ZJQTT202506270001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陆家嘴信托-陆享20号集合资金信托计划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123,000,823.33</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46.08</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ZJQTT202309150001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中粮信托-鼎兴6号集合资金信托计划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121,118,876.74</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45.37</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ZJQTT202404010021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国投泰康信托福佳8号集合资金信托计划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22,068,496.36</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8.27</w:t>
            </w:r>
          </w:p>
        </w:tc>
      </w:tr>
    </w:tbl>
    <w:p w:rsidR="004D0A40" w:rsidRDefault="004D0A40" w:rsidP="00F87FA0">
      <w:pPr>
        <w:spacing w:before="240" w:afterLines="30" w:line="360" w:lineRule="auto"/>
        <w:rPr>
          <w:rFonts w:ascii="方正仿宋简体" w:eastAsia="方正仿宋简体" w:hAnsi="宋体" w:cs="宋体"/>
          <w:sz w:val="24"/>
          <w:szCs w:val="24"/>
          <w:shd w:val="clear" w:color="auto" w:fill="FFFFFF"/>
        </w:rPr>
      </w:pPr>
    </w:p>
    <w:p w:rsidR="004D0A40" w:rsidRDefault="00B75FAA" w:rsidP="00F87FA0">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w:t>
      </w:r>
      <w:r>
        <w:rPr>
          <w:rFonts w:ascii="方正仿宋简体" w:eastAsia="方正仿宋简体" w:hAnsi="宋体" w:cs="宋体" w:hint="eastAsia"/>
          <w:b/>
          <w:sz w:val="24"/>
          <w:szCs w:val="24"/>
          <w:shd w:val="clear" w:color="auto" w:fill="FFFFFF"/>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D0A40">
        <w:trPr>
          <w:jc w:val="center"/>
        </w:trPr>
        <w:tc>
          <w:tcPr>
            <w:tcW w:w="70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4D0A40">
        <w:trPr>
          <w:trHeight w:val="705"/>
          <w:jc w:val="center"/>
        </w:trPr>
        <w:tc>
          <w:tcPr>
            <w:tcW w:w="96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0101070000001566</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南银理财珠联璧合鑫逸稳两年124期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7 </w:t>
      </w:r>
      <w:r>
        <w:rPr>
          <w:rFonts w:ascii="方正仿宋简体" w:eastAsia="方正仿宋简体" w:hint="eastAsia"/>
          <w:b/>
          <w:sz w:val="24"/>
          <w:szCs w:val="24"/>
        </w:rPr>
        <w:t>关联交易情况</w:t>
      </w:r>
    </w:p>
    <w:p w:rsidR="004D0A40" w:rsidRDefault="00F87FA0">
      <w:pPr>
        <w:spacing w:before="240" w:after="72" w:line="360" w:lineRule="auto"/>
        <w:rPr>
          <w:rFonts w:ascii="方正仿宋简体" w:eastAsia="方正仿宋简体"/>
          <w:b/>
          <w:sz w:val="24"/>
          <w:szCs w:val="24"/>
        </w:rPr>
      </w:pPr>
      <w:r>
        <w:rPr>
          <w:rFonts w:ascii="方正仿宋简体" w:eastAsia="方正仿宋简体" w:hint="eastAsia"/>
          <w:b/>
          <w:sz w:val="24"/>
          <w:szCs w:val="24"/>
        </w:rPr>
        <w:t>7.1</w:t>
      </w:r>
      <w:r w:rsidR="00B75FAA">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B6236">
      <w:pPr>
        <w:spacing w:before="240" w:after="72" w:line="360" w:lineRule="auto"/>
        <w:rPr>
          <w:rFonts w:ascii="方正仿宋简体" w:eastAsia="方正仿宋简体"/>
          <w:b/>
          <w:sz w:val="24"/>
          <w:szCs w:val="24"/>
        </w:rPr>
      </w:pPr>
      <w:r>
        <w:rPr>
          <w:rFonts w:ascii="方正仿宋简体" w:eastAsia="方正仿宋简体" w:hint="eastAsia"/>
          <w:b/>
          <w:sz w:val="24"/>
          <w:szCs w:val="24"/>
        </w:rPr>
        <w:lastRenderedPageBreak/>
        <w:t>7.</w:t>
      </w:r>
      <w:r w:rsidR="00B75FAA">
        <w:rPr>
          <w:rFonts w:ascii="方正仿宋简体" w:eastAsia="方正仿宋简体" w:hint="eastAsia"/>
          <w:b/>
          <w:sz w:val="24"/>
          <w:szCs w:val="24"/>
        </w:rPr>
        <w:t>2</w:t>
      </w:r>
      <w:r w:rsidR="00B75FAA">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809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3</w:t>
      </w:r>
      <w:r w:rsidR="00B75FAA">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5C60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4</w:t>
      </w:r>
      <w:r w:rsidR="00B75FAA">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4D0A40">
        <w:trPr>
          <w:trHeight w:val="1048"/>
          <w:jc w:val="center"/>
        </w:trPr>
        <w:tc>
          <w:tcPr>
            <w:tcW w:w="87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43838.96</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丹阳农商行</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2165.79</w:t>
            </w:r>
          </w:p>
        </w:tc>
      </w:tr>
    </w:tbl>
    <w:p w:rsidR="004D0A40" w:rsidRDefault="004D0A40">
      <w:pPr>
        <w:spacing w:before="240" w:after="72" w:line="360" w:lineRule="auto"/>
        <w:rPr>
          <w:rFonts w:ascii="方正仿宋_GBK" w:eastAsia="方正仿宋_GBK"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D0A40" w:rsidRDefault="00B75FAA" w:rsidP="004D0A40">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2025年12月31日</w:t>
      </w:r>
    </w:p>
    <w:sectPr w:rsidR="004D0A40" w:rsidSect="004D0A4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5FAA" w:rsidRDefault="00B75FAA" w:rsidP="004D0A40">
      <w:r>
        <w:separator/>
      </w:r>
    </w:p>
  </w:endnote>
  <w:endnote w:type="continuationSeparator" w:id="1">
    <w:p w:rsidR="00B75FAA" w:rsidRDefault="00B75FAA" w:rsidP="004D0A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方正仿宋_GBK">
    <w:altName w:val="Arial Unicode MS"/>
    <w:charset w:val="86"/>
    <w:family w:val="script"/>
    <w:pitch w:val="default"/>
    <w:sig w:usb0="00000000" w:usb1="080E0000" w:usb2="0000000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framePr w:wrap="around" w:vAnchor="text" w:hAnchor="margin" w:xAlign="center" w:y="1"/>
      <w:rPr>
        <w:rStyle w:val="aa"/>
      </w:rPr>
    </w:pPr>
    <w:r>
      <w:fldChar w:fldCharType="begin"/>
    </w:r>
    <w:r w:rsidR="00B75FAA">
      <w:rPr>
        <w:rStyle w:val="aa"/>
      </w:rPr>
      <w:instrText xml:space="preserve">PAGE  </w:instrText>
    </w:r>
    <w:r>
      <w:fldChar w:fldCharType="end"/>
    </w:r>
  </w:p>
  <w:p w:rsidR="004D0A40" w:rsidRDefault="004D0A40">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5FAA" w:rsidRDefault="00B75FAA" w:rsidP="004D0A40">
      <w:r>
        <w:separator/>
      </w:r>
    </w:p>
  </w:footnote>
  <w:footnote w:type="continuationSeparator" w:id="1">
    <w:p w:rsidR="00B75FAA" w:rsidRDefault="00B75FAA" w:rsidP="004D0A4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809F4"/>
    <w:rsid w:val="00295E85"/>
    <w:rsid w:val="002A3AE9"/>
    <w:rsid w:val="002B100D"/>
    <w:rsid w:val="002B6236"/>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D0A40"/>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C60F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AD5F53"/>
    <w:rsid w:val="00B030BC"/>
    <w:rsid w:val="00B13014"/>
    <w:rsid w:val="00B17559"/>
    <w:rsid w:val="00B23430"/>
    <w:rsid w:val="00B23E1D"/>
    <w:rsid w:val="00B33978"/>
    <w:rsid w:val="00B33B19"/>
    <w:rsid w:val="00B404E6"/>
    <w:rsid w:val="00B4360D"/>
    <w:rsid w:val="00B43E89"/>
    <w:rsid w:val="00B61EA9"/>
    <w:rsid w:val="00B670D1"/>
    <w:rsid w:val="00B74DCA"/>
    <w:rsid w:val="00B75FAA"/>
    <w:rsid w:val="00BC0E14"/>
    <w:rsid w:val="00BC3903"/>
    <w:rsid w:val="00BD66CD"/>
    <w:rsid w:val="00BE47E0"/>
    <w:rsid w:val="00BF3D9D"/>
    <w:rsid w:val="00BF75C8"/>
    <w:rsid w:val="00C04B3A"/>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87FA0"/>
    <w:rsid w:val="00F950D0"/>
    <w:rsid w:val="00FA0110"/>
    <w:rsid w:val="00FA2C26"/>
    <w:rsid w:val="00FC3509"/>
    <w:rsid w:val="00FD1F12"/>
    <w:rsid w:val="00FD412B"/>
    <w:rsid w:val="00FF26C8"/>
    <w:rsid w:val="016D581F"/>
    <w:rsid w:val="017217ED"/>
    <w:rsid w:val="030F2BA7"/>
    <w:rsid w:val="03785193"/>
    <w:rsid w:val="04240CEE"/>
    <w:rsid w:val="065551D3"/>
    <w:rsid w:val="06C37561"/>
    <w:rsid w:val="0A236A5A"/>
    <w:rsid w:val="10992483"/>
    <w:rsid w:val="111D4539"/>
    <w:rsid w:val="13297F9C"/>
    <w:rsid w:val="134727C6"/>
    <w:rsid w:val="141A5102"/>
    <w:rsid w:val="15FE575C"/>
    <w:rsid w:val="17E463CF"/>
    <w:rsid w:val="19225CD9"/>
    <w:rsid w:val="1ADC05C7"/>
    <w:rsid w:val="1C4F5F81"/>
    <w:rsid w:val="1E911FB2"/>
    <w:rsid w:val="20F325AF"/>
    <w:rsid w:val="216F6F5C"/>
    <w:rsid w:val="22D04645"/>
    <w:rsid w:val="22E23E75"/>
    <w:rsid w:val="23695E2F"/>
    <w:rsid w:val="2555668E"/>
    <w:rsid w:val="25AF3A81"/>
    <w:rsid w:val="26FD4196"/>
    <w:rsid w:val="28753E78"/>
    <w:rsid w:val="28CD1EA7"/>
    <w:rsid w:val="29F7636C"/>
    <w:rsid w:val="2A2232BA"/>
    <w:rsid w:val="2C4F4CF2"/>
    <w:rsid w:val="32955A2A"/>
    <w:rsid w:val="32AE1BB2"/>
    <w:rsid w:val="36341C31"/>
    <w:rsid w:val="368076E6"/>
    <w:rsid w:val="378F5AE0"/>
    <w:rsid w:val="37F709A6"/>
    <w:rsid w:val="39E872E9"/>
    <w:rsid w:val="3ABE1FB8"/>
    <w:rsid w:val="3C753CC7"/>
    <w:rsid w:val="3F2C3B54"/>
    <w:rsid w:val="40990310"/>
    <w:rsid w:val="459870AF"/>
    <w:rsid w:val="45ED49CE"/>
    <w:rsid w:val="465B4CB0"/>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0A4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4D0A40"/>
    <w:pPr>
      <w:jc w:val="left"/>
    </w:pPr>
  </w:style>
  <w:style w:type="paragraph" w:styleId="a4">
    <w:name w:val="Balloon Text"/>
    <w:basedOn w:val="a"/>
    <w:link w:val="Char0"/>
    <w:uiPriority w:val="99"/>
    <w:unhideWhenUsed/>
    <w:qFormat/>
    <w:rsid w:val="004D0A40"/>
    <w:rPr>
      <w:sz w:val="18"/>
      <w:szCs w:val="18"/>
    </w:rPr>
  </w:style>
  <w:style w:type="paragraph" w:styleId="a5">
    <w:name w:val="footer"/>
    <w:basedOn w:val="a"/>
    <w:link w:val="Char1"/>
    <w:uiPriority w:val="99"/>
    <w:unhideWhenUsed/>
    <w:qFormat/>
    <w:rsid w:val="004D0A40"/>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4D0A40"/>
    <w:pPr>
      <w:pBdr>
        <w:bottom w:val="single" w:sz="6" w:space="1" w:color="auto"/>
      </w:pBdr>
      <w:tabs>
        <w:tab w:val="center" w:pos="4153"/>
        <w:tab w:val="right" w:pos="8306"/>
      </w:tabs>
      <w:snapToGrid w:val="0"/>
      <w:jc w:val="center"/>
    </w:pPr>
    <w:rPr>
      <w:sz w:val="18"/>
      <w:szCs w:val="18"/>
    </w:rPr>
  </w:style>
  <w:style w:type="paragraph" w:styleId="a7">
    <w:name w:val="footnote text"/>
    <w:basedOn w:val="a"/>
    <w:uiPriority w:val="99"/>
    <w:unhideWhenUsed/>
    <w:qFormat/>
    <w:rsid w:val="004D0A40"/>
    <w:pPr>
      <w:snapToGrid w:val="0"/>
      <w:jc w:val="left"/>
    </w:pPr>
    <w:rPr>
      <w:sz w:val="18"/>
    </w:rPr>
  </w:style>
  <w:style w:type="paragraph" w:styleId="a8">
    <w:name w:val="Normal (Web)"/>
    <w:basedOn w:val="a"/>
    <w:qFormat/>
    <w:rsid w:val="004D0A40"/>
    <w:pPr>
      <w:widowControl/>
      <w:spacing w:before="100" w:beforeAutospacing="1" w:after="100" w:afterAutospacing="1"/>
      <w:jc w:val="left"/>
    </w:pPr>
    <w:rPr>
      <w:rFonts w:ascii="宋体" w:hAnsi="宋体"/>
      <w:kern w:val="0"/>
      <w:sz w:val="24"/>
      <w:szCs w:val="24"/>
    </w:rPr>
  </w:style>
  <w:style w:type="paragraph" w:styleId="a9">
    <w:name w:val="annotation subject"/>
    <w:basedOn w:val="a3"/>
    <w:next w:val="a3"/>
    <w:link w:val="Char3"/>
    <w:uiPriority w:val="99"/>
    <w:unhideWhenUsed/>
    <w:qFormat/>
    <w:rsid w:val="004D0A40"/>
    <w:rPr>
      <w:b/>
      <w:bCs/>
    </w:rPr>
  </w:style>
  <w:style w:type="character" w:styleId="aa">
    <w:name w:val="page number"/>
    <w:basedOn w:val="a0"/>
    <w:uiPriority w:val="99"/>
    <w:unhideWhenUsed/>
    <w:qFormat/>
    <w:rsid w:val="004D0A40"/>
  </w:style>
  <w:style w:type="character" w:styleId="ab">
    <w:name w:val="annotation reference"/>
    <w:uiPriority w:val="99"/>
    <w:unhideWhenUsed/>
    <w:qFormat/>
    <w:rsid w:val="004D0A40"/>
    <w:rPr>
      <w:sz w:val="21"/>
      <w:szCs w:val="21"/>
    </w:rPr>
  </w:style>
  <w:style w:type="character" w:styleId="ac">
    <w:name w:val="footnote reference"/>
    <w:uiPriority w:val="99"/>
    <w:unhideWhenUsed/>
    <w:qFormat/>
    <w:rsid w:val="004D0A40"/>
    <w:rPr>
      <w:vertAlign w:val="superscript"/>
    </w:rPr>
  </w:style>
  <w:style w:type="character" w:customStyle="1" w:styleId="Char0">
    <w:name w:val="批注框文本 Char"/>
    <w:link w:val="a4"/>
    <w:uiPriority w:val="99"/>
    <w:semiHidden/>
    <w:qFormat/>
    <w:rsid w:val="004D0A40"/>
    <w:rPr>
      <w:kern w:val="2"/>
      <w:sz w:val="18"/>
      <w:szCs w:val="18"/>
    </w:rPr>
  </w:style>
  <w:style w:type="character" w:customStyle="1" w:styleId="Char2">
    <w:name w:val="页眉 Char"/>
    <w:link w:val="a6"/>
    <w:uiPriority w:val="99"/>
    <w:semiHidden/>
    <w:qFormat/>
    <w:locked/>
    <w:rsid w:val="004D0A40"/>
    <w:rPr>
      <w:rFonts w:ascii="Times New Roman" w:hAnsi="Times New Roman" w:cs="Times New Roman" w:hint="default"/>
      <w:sz w:val="18"/>
      <w:szCs w:val="18"/>
    </w:rPr>
  </w:style>
  <w:style w:type="character" w:customStyle="1" w:styleId="Char3">
    <w:name w:val="批注主题 Char"/>
    <w:link w:val="a9"/>
    <w:uiPriority w:val="99"/>
    <w:semiHidden/>
    <w:qFormat/>
    <w:rsid w:val="004D0A40"/>
    <w:rPr>
      <w:b/>
      <w:bCs/>
      <w:kern w:val="2"/>
      <w:sz w:val="21"/>
      <w:szCs w:val="22"/>
    </w:rPr>
  </w:style>
  <w:style w:type="character" w:customStyle="1" w:styleId="Char1">
    <w:name w:val="页脚 Char"/>
    <w:link w:val="a5"/>
    <w:uiPriority w:val="99"/>
    <w:semiHidden/>
    <w:qFormat/>
    <w:locked/>
    <w:rsid w:val="004D0A40"/>
    <w:rPr>
      <w:rFonts w:ascii="Times New Roman" w:hAnsi="Times New Roman" w:cs="Times New Roman" w:hint="default"/>
      <w:sz w:val="18"/>
      <w:szCs w:val="18"/>
    </w:rPr>
  </w:style>
  <w:style w:type="character" w:customStyle="1" w:styleId="Char">
    <w:name w:val="批注文字 Char"/>
    <w:link w:val="a3"/>
    <w:uiPriority w:val="99"/>
    <w:qFormat/>
    <w:rsid w:val="004D0A40"/>
    <w:rPr>
      <w:kern w:val="2"/>
      <w:sz w:val="21"/>
      <w:szCs w:val="22"/>
    </w:rPr>
  </w:style>
  <w:style w:type="paragraph" w:customStyle="1" w:styleId="zhongyaotishi">
    <w:name w:val="zhongyaotishi"/>
    <w:basedOn w:val="a"/>
    <w:qFormat/>
    <w:rsid w:val="004D0A4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D0A4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D0A4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D0A40"/>
    <w:pPr>
      <w:widowControl w:val="0"/>
      <w:jc w:val="center"/>
    </w:pPr>
    <w:rPr>
      <w:kern w:val="2"/>
      <w:sz w:val="33"/>
      <w:szCs w:val="22"/>
    </w:rPr>
  </w:style>
  <w:style w:type="paragraph" w:customStyle="1" w:styleId="biaogeleft">
    <w:name w:val="biaoge_left"/>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D0A4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D0A4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D0A4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D0A4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D0A40"/>
    <w:pPr>
      <w:widowControl w:val="0"/>
    </w:pPr>
    <w:rPr>
      <w:kern w:val="2"/>
      <w:sz w:val="21"/>
      <w:szCs w:val="22"/>
    </w:rPr>
  </w:style>
  <w:style w:type="paragraph" w:customStyle="1" w:styleId="neirong">
    <w:name w:val="neirong"/>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D0A40"/>
    <w:pPr>
      <w:jc w:val="both"/>
    </w:pPr>
    <w:rPr>
      <w:kern w:val="2"/>
      <w:sz w:val="21"/>
      <w:szCs w:val="21"/>
    </w:rPr>
  </w:style>
  <w:style w:type="paragraph" w:customStyle="1" w:styleId="Default">
    <w:name w:val="Default"/>
    <w:qFormat/>
    <w:rsid w:val="004D0A4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422</Words>
  <Characters>2406</Characters>
  <Application>Microsoft Office Word</Application>
  <DocSecurity>0</DocSecurity>
  <Lines>20</Lines>
  <Paragraphs>5</Paragraphs>
  <ScaleCrop>false</ScaleCrop>
  <Company>微软中国</Company>
  <LinksUpToDate>false</LinksUpToDate>
  <CharactersWithSpaces>2823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2026-03-27T09:10:00Z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70A85B21218E4D28BF21800BB7D18235</vt:lpwstr>
  </property>
</Properties>
</file>