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南银理财鼎瑞安稳一年定开2025第16期公募人民币理财产品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南银理财鼎瑞安稳一年定开2025第16期公募人民币理财产品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Z7003225000244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2025年07月31日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1,544,689,341.00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中诚信托有限责任公司,国投泰康信托有限公司,紫金信托有限责任公司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2025年07月31日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347,234,029.38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2,350.00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454,452,743.00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82,032,897.20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196,845,507.28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2,921,510.04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131,799,446.32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189,391,754.37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64,010,085.12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ZN30026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97,755,802.38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30026份额净值为1.0137元，ZB30026份额净值为1.0137元，ZC30026份额净值为1.0141元，ZD30026份额净值为1.0143元，ZE30026份额净值为1.0148元，ZF30026份额净值为1.0141元，ZG30026份额净值为1.0145元，ZM30026份额净值为1.0137元，ZN30026份额净值为1.0150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98.71</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86.67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1.29</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13.33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745,167,519.98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605,139,287.68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72,805,782.34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032400610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24合川投资PPN001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50,640,950.00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032400616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24江苏银宝PPN002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40,448,920.00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032481527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24新沂城投PPN004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30,352,560.00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259989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25云港Y4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20,060,520.00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0101050000001647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南银理财鼎瑞安稳一年定开2025第16期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24江苏银宝PPN002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032400616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41636054.79</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72740316.06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72600000.00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143592.08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4971.55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103830.08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