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南银理财鼎瑞悦稳红利（最低持有371天）公募人民币理财产品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南银理财鼎瑞悦稳红利（最低持有371天）公募人民币理财产品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Z7003224000015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2024年01月10日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2,224,568,132.00</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兴业国际信托有限公司,鑫元基金管理有限公司,中国对外经济贸易信托有限公司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2,124,748,015.99</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1.019094</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1.069094</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A33003</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142,218,033.57</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1.018525</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1.064853</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A33003</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  操作方面，坚持稳健运作的投资理念，对于利差保护较足的信用资产积极配置，同时关注交易活跃品种的波段机会，结合收益率水平做好久期与杠杆管理，获取稳健的投资回报。</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A33001份额净值为1.019094元，A33003份额净值为1.018525</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97.29%</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93.78%</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2.71%</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6.22%</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1,340,431,622.54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232580054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25建行二级资本债03BC</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151,417,950.00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143,361,927.92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121,403,333.33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ZJQTT202511130001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兴业信托-兴南恒盈2号集合资金信托计划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89,315,539.03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102383275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23未来科技MTN001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60,847,140.00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24医药城PPN001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50,711,050.00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032400672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24沛县国资PPN005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50,631,500.00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032400610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24合川投资PPN001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50,584,100.00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032480044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24黄海金控PPN001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40,663,120.00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0101050000000860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南京银行南京分行南银理财鼎瑞悦稳红利最低持有371天</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24沛县国资PPN005</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032400672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51950109.59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24黄海金控PPN001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032480044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40807495.89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24医药城PPN001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032400661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52147328.77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25宿城国资PPN007</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032501209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40521358.90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23未来科技MTN001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102383275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61265589.04</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383469.29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106208.93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2026年03月31日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